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7663" w14:textId="363DF5DE" w:rsidR="001B246D" w:rsidRPr="001B246D" w:rsidRDefault="001B246D" w:rsidP="001B246D">
      <w:pPr>
        <w:pStyle w:val="Heading1"/>
        <w:spacing w:before="0"/>
        <w:jc w:val="center"/>
        <w:rPr>
          <w:lang w:val="en-US"/>
        </w:rPr>
      </w:pPr>
      <w:r w:rsidRPr="001B246D">
        <w:rPr>
          <w:lang w:val="en-US"/>
        </w:rPr>
        <w:t>Appendix</w:t>
      </w:r>
    </w:p>
    <w:p w14:paraId="76943E95" w14:textId="77777777" w:rsidR="001B246D" w:rsidRPr="001B246D" w:rsidRDefault="001B246D" w:rsidP="001B246D">
      <w:pPr>
        <w:pStyle w:val="Heading1"/>
        <w:spacing w:before="0"/>
        <w:rPr>
          <w:lang w:val="en-US"/>
        </w:rPr>
      </w:pPr>
      <w:r w:rsidRPr="001B246D">
        <w:rPr>
          <w:lang w:val="en-US"/>
        </w:rPr>
        <w:t>Appendix 1</w:t>
      </w:r>
    </w:p>
    <w:p w14:paraId="3031CA5F" w14:textId="77777777" w:rsidR="001B246D" w:rsidRPr="001B246D" w:rsidRDefault="001B246D" w:rsidP="001B246D">
      <w:pPr>
        <w:rPr>
          <w:b/>
          <w:bCs/>
          <w:u w:val="single"/>
          <w:lang w:val="en-US" w:eastAsia="en-US"/>
        </w:rPr>
      </w:pPr>
      <w:r w:rsidRPr="001B246D">
        <w:rPr>
          <w:b/>
          <w:bCs/>
          <w:u w:val="single"/>
          <w:lang w:val="en-US" w:eastAsia="en-US"/>
        </w:rPr>
        <w:t xml:space="preserve">List of Included CDA-AMC Reimbursement Reviews </w:t>
      </w:r>
    </w:p>
    <w:tbl>
      <w:tblPr>
        <w:tblStyle w:val="ActikerallTable"/>
        <w:tblW w:w="0" w:type="auto"/>
        <w:tblLook w:val="04A0" w:firstRow="1" w:lastRow="0" w:firstColumn="1" w:lastColumn="0" w:noHBand="0" w:noVBand="1"/>
      </w:tblPr>
      <w:tblGrid>
        <w:gridCol w:w="2962"/>
        <w:gridCol w:w="3033"/>
        <w:gridCol w:w="3031"/>
      </w:tblGrid>
      <w:tr w:rsidR="001B246D" w:rsidRPr="001B246D" w14:paraId="2A1086CF" w14:textId="77777777" w:rsidTr="00A64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dxa"/>
          </w:tcPr>
          <w:p w14:paraId="0D5D4D5B" w14:textId="77777777" w:rsidR="001B246D" w:rsidRPr="001B246D" w:rsidRDefault="001B246D" w:rsidP="00A640A9">
            <w:pPr>
              <w:rPr>
                <w:szCs w:val="24"/>
                <w:lang w:val="en-US"/>
              </w:rPr>
            </w:pPr>
            <w:r w:rsidRPr="001B246D">
              <w:rPr>
                <w:szCs w:val="24"/>
                <w:lang w:val="en-US"/>
              </w:rPr>
              <w:t>CDA-AMC Project Number</w:t>
            </w:r>
          </w:p>
        </w:tc>
        <w:tc>
          <w:tcPr>
            <w:tcW w:w="0" w:type="dxa"/>
          </w:tcPr>
          <w:p w14:paraId="4F6D6351" w14:textId="77777777" w:rsidR="001B246D" w:rsidRPr="001B246D" w:rsidRDefault="001B246D" w:rsidP="00A640A9">
            <w:pPr>
              <w:rPr>
                <w:szCs w:val="24"/>
                <w:lang w:val="en-US"/>
              </w:rPr>
            </w:pPr>
            <w:r w:rsidRPr="001B246D">
              <w:rPr>
                <w:szCs w:val="24"/>
                <w:lang w:val="en-US"/>
              </w:rPr>
              <w:t>Drug Brand (Generic) Name</w:t>
            </w:r>
          </w:p>
        </w:tc>
        <w:tc>
          <w:tcPr>
            <w:tcW w:w="0" w:type="dxa"/>
          </w:tcPr>
          <w:p w14:paraId="3287EA4D" w14:textId="77777777" w:rsidR="001B246D" w:rsidRPr="001B246D" w:rsidRDefault="001B246D" w:rsidP="00A640A9">
            <w:pPr>
              <w:rPr>
                <w:szCs w:val="24"/>
                <w:lang w:val="en-US"/>
              </w:rPr>
            </w:pPr>
            <w:r w:rsidRPr="001B246D">
              <w:rPr>
                <w:szCs w:val="24"/>
                <w:lang w:val="en-US"/>
              </w:rPr>
              <w:t xml:space="preserve">Therapeutic Area </w:t>
            </w:r>
          </w:p>
          <w:p w14:paraId="23345794" w14:textId="77777777" w:rsidR="001B246D" w:rsidRPr="001B246D" w:rsidRDefault="001B246D" w:rsidP="00A640A9">
            <w:pPr>
              <w:rPr>
                <w:szCs w:val="24"/>
                <w:lang w:val="en-US"/>
              </w:rPr>
            </w:pPr>
            <w:r w:rsidRPr="001B246D">
              <w:rPr>
                <w:szCs w:val="24"/>
                <w:lang w:val="en-US"/>
              </w:rPr>
              <w:t>(Number of Recommendations Included in Reimbursement Review)</w:t>
            </w:r>
          </w:p>
        </w:tc>
      </w:tr>
      <w:tr w:rsidR="001B246D" w:rsidRPr="001B246D" w14:paraId="2D8A3223" w14:textId="77777777" w:rsidTr="00A640A9">
        <w:tc>
          <w:tcPr>
            <w:tcW w:w="0" w:type="dxa"/>
            <w:gridSpan w:val="3"/>
            <w:shd w:val="clear" w:color="auto" w:fill="D9D9D9"/>
          </w:tcPr>
          <w:p w14:paraId="571075F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b/>
                <w:bCs/>
                <w:szCs w:val="24"/>
                <w:lang w:val="en-US"/>
              </w:rPr>
              <w:t>Oncology Products</w:t>
            </w:r>
          </w:p>
        </w:tc>
      </w:tr>
      <w:tr w:rsidR="001B246D" w:rsidRPr="001B246D" w14:paraId="6B056014" w14:textId="77777777" w:rsidTr="00A640A9">
        <w:tc>
          <w:tcPr>
            <w:tcW w:w="3116" w:type="dxa"/>
          </w:tcPr>
          <w:p w14:paraId="29B24567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PC0261-000</w:t>
            </w:r>
          </w:p>
        </w:tc>
        <w:tc>
          <w:tcPr>
            <w:tcW w:w="3117" w:type="dxa"/>
          </w:tcPr>
          <w:p w14:paraId="371D4E5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Retevmo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selpercatinib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7A535C35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RET fusion-positive non-small cell lung cancer (2)</w:t>
            </w:r>
          </w:p>
        </w:tc>
      </w:tr>
      <w:tr w:rsidR="001B246D" w:rsidRPr="001B246D" w14:paraId="664C2A6D" w14:textId="77777777" w:rsidTr="00A640A9">
        <w:tc>
          <w:tcPr>
            <w:tcW w:w="3116" w:type="dxa"/>
          </w:tcPr>
          <w:p w14:paraId="4843BEC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PC0294-000</w:t>
            </w:r>
          </w:p>
        </w:tc>
        <w:tc>
          <w:tcPr>
            <w:tcW w:w="3117" w:type="dxa"/>
          </w:tcPr>
          <w:p w14:paraId="69FB88B9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Nubeqa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(darolutamide)</w:t>
            </w:r>
          </w:p>
        </w:tc>
        <w:tc>
          <w:tcPr>
            <w:tcW w:w="3117" w:type="dxa"/>
          </w:tcPr>
          <w:p w14:paraId="71B921A2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Metastatic castration-sensitive prostate cancer (1)</w:t>
            </w:r>
          </w:p>
        </w:tc>
      </w:tr>
      <w:tr w:rsidR="001B246D" w:rsidRPr="001B246D" w14:paraId="55261822" w14:textId="77777777" w:rsidTr="00A640A9">
        <w:tc>
          <w:tcPr>
            <w:tcW w:w="3116" w:type="dxa"/>
          </w:tcPr>
          <w:p w14:paraId="13048B1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PC0268-000</w:t>
            </w:r>
          </w:p>
        </w:tc>
        <w:tc>
          <w:tcPr>
            <w:tcW w:w="3117" w:type="dxa"/>
          </w:tcPr>
          <w:p w14:paraId="3057BB22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Lenvima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and Keytruda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lenvatinib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and pembrolizumab)</w:t>
            </w:r>
          </w:p>
        </w:tc>
        <w:tc>
          <w:tcPr>
            <w:tcW w:w="3117" w:type="dxa"/>
          </w:tcPr>
          <w:p w14:paraId="30B2C46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Advanced or metastatic renal cell carcinoma (1)</w:t>
            </w:r>
          </w:p>
        </w:tc>
      </w:tr>
      <w:tr w:rsidR="001B246D" w:rsidRPr="001B246D" w14:paraId="37400F5F" w14:textId="77777777" w:rsidTr="00A640A9">
        <w:tc>
          <w:tcPr>
            <w:tcW w:w="3116" w:type="dxa"/>
          </w:tcPr>
          <w:p w14:paraId="3178B355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PC0289-000</w:t>
            </w:r>
          </w:p>
        </w:tc>
        <w:tc>
          <w:tcPr>
            <w:tcW w:w="3117" w:type="dxa"/>
          </w:tcPr>
          <w:p w14:paraId="7E849BB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Rybrevant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amivantamab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4055D102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Non-small cell lung cancer (1)</w:t>
            </w:r>
          </w:p>
        </w:tc>
      </w:tr>
      <w:tr w:rsidR="001B246D" w:rsidRPr="001B246D" w14:paraId="62F48269" w14:textId="77777777" w:rsidTr="00A640A9">
        <w:tc>
          <w:tcPr>
            <w:tcW w:w="3116" w:type="dxa"/>
          </w:tcPr>
          <w:p w14:paraId="2F9A7A97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PC0249-000</w:t>
            </w:r>
          </w:p>
        </w:tc>
        <w:tc>
          <w:tcPr>
            <w:tcW w:w="3117" w:type="dxa"/>
          </w:tcPr>
          <w:p w14:paraId="545DCCD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Lorbrena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lorlatinib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2D885A1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ALK-positive locally advanced or metastatic non-small cell lung (1)</w:t>
            </w:r>
          </w:p>
        </w:tc>
      </w:tr>
      <w:tr w:rsidR="001B246D" w:rsidRPr="001B246D" w14:paraId="45F025F0" w14:textId="77777777" w:rsidTr="00A640A9">
        <w:tc>
          <w:tcPr>
            <w:tcW w:w="3116" w:type="dxa"/>
          </w:tcPr>
          <w:p w14:paraId="593BEB7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PG0304-000</w:t>
            </w:r>
          </w:p>
        </w:tc>
        <w:tc>
          <w:tcPr>
            <w:tcW w:w="3117" w:type="dxa"/>
          </w:tcPr>
          <w:p w14:paraId="6AC5B8C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Tecartus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brexucabtagene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autoleucel)</w:t>
            </w:r>
          </w:p>
        </w:tc>
        <w:tc>
          <w:tcPr>
            <w:tcW w:w="3117" w:type="dxa"/>
          </w:tcPr>
          <w:p w14:paraId="3E4DB39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Acute lymphoblastic leukemia (2)</w:t>
            </w:r>
          </w:p>
        </w:tc>
      </w:tr>
      <w:tr w:rsidR="001B246D" w:rsidRPr="001B246D" w14:paraId="167FE7DC" w14:textId="77777777" w:rsidTr="00A640A9">
        <w:tc>
          <w:tcPr>
            <w:tcW w:w="3116" w:type="dxa"/>
          </w:tcPr>
          <w:p w14:paraId="28EC3FD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PC0297-000</w:t>
            </w:r>
          </w:p>
        </w:tc>
        <w:tc>
          <w:tcPr>
            <w:tcW w:w="3117" w:type="dxa"/>
          </w:tcPr>
          <w:p w14:paraId="0A5A7BF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Pluvicto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(lutetium 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vipivotide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tetraxetan)</w:t>
            </w:r>
          </w:p>
        </w:tc>
        <w:tc>
          <w:tcPr>
            <w:tcW w:w="3117" w:type="dxa"/>
          </w:tcPr>
          <w:p w14:paraId="4C52908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Metastatic castration-resistant prostate cancer (1)</w:t>
            </w:r>
          </w:p>
        </w:tc>
      </w:tr>
      <w:tr w:rsidR="001B246D" w:rsidRPr="001B246D" w14:paraId="3F6B2A36" w14:textId="77777777" w:rsidTr="00A640A9">
        <w:tc>
          <w:tcPr>
            <w:tcW w:w="3116" w:type="dxa"/>
          </w:tcPr>
          <w:p w14:paraId="43EEA1B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PC0303-000</w:t>
            </w:r>
          </w:p>
        </w:tc>
        <w:tc>
          <w:tcPr>
            <w:tcW w:w="3117" w:type="dxa"/>
          </w:tcPr>
          <w:p w14:paraId="34BEA53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Opdivo (nivolumab)</w:t>
            </w:r>
          </w:p>
        </w:tc>
        <w:tc>
          <w:tcPr>
            <w:tcW w:w="3117" w:type="dxa"/>
          </w:tcPr>
          <w:p w14:paraId="10D4667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Resectable non-small cell lung cancer (1)</w:t>
            </w:r>
          </w:p>
        </w:tc>
      </w:tr>
      <w:tr w:rsidR="001B246D" w:rsidRPr="001B246D" w14:paraId="5C2AFD29" w14:textId="77777777" w:rsidTr="00A640A9">
        <w:tc>
          <w:tcPr>
            <w:tcW w:w="3116" w:type="dxa"/>
          </w:tcPr>
          <w:p w14:paraId="0D3F2AB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PC0312-000</w:t>
            </w:r>
          </w:p>
        </w:tc>
        <w:tc>
          <w:tcPr>
            <w:tcW w:w="3117" w:type="dxa"/>
          </w:tcPr>
          <w:p w14:paraId="4B55904E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Cabometyx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(cabozantinib)</w:t>
            </w:r>
          </w:p>
        </w:tc>
        <w:tc>
          <w:tcPr>
            <w:tcW w:w="3117" w:type="dxa"/>
          </w:tcPr>
          <w:p w14:paraId="2C8DEF8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Advanced or metastatic renal cell carcinoma (1)</w:t>
            </w:r>
          </w:p>
        </w:tc>
      </w:tr>
      <w:tr w:rsidR="001B246D" w:rsidRPr="001B246D" w14:paraId="1A5958E0" w14:textId="77777777" w:rsidTr="00A640A9">
        <w:tc>
          <w:tcPr>
            <w:tcW w:w="3116" w:type="dxa"/>
          </w:tcPr>
          <w:p w14:paraId="783EF60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PC0283-000</w:t>
            </w:r>
          </w:p>
        </w:tc>
        <w:tc>
          <w:tcPr>
            <w:tcW w:w="3117" w:type="dxa"/>
          </w:tcPr>
          <w:p w14:paraId="2271F045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Gavreto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pralsetinib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081B4CAE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RET fusion-positive non-small cell lung cancer (2)</w:t>
            </w:r>
          </w:p>
        </w:tc>
      </w:tr>
      <w:tr w:rsidR="001B246D" w:rsidRPr="001B246D" w14:paraId="2726C963" w14:textId="77777777" w:rsidTr="00A640A9">
        <w:tc>
          <w:tcPr>
            <w:tcW w:w="0" w:type="dxa"/>
            <w:gridSpan w:val="3"/>
            <w:shd w:val="clear" w:color="auto" w:fill="D9D9D9"/>
          </w:tcPr>
          <w:p w14:paraId="70B33C8C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b/>
                <w:bCs/>
                <w:szCs w:val="24"/>
                <w:lang w:val="en-US"/>
              </w:rPr>
              <w:t>Non-oncology Products</w:t>
            </w:r>
          </w:p>
        </w:tc>
      </w:tr>
      <w:tr w:rsidR="001B246D" w:rsidRPr="001B246D" w14:paraId="6F26F79A" w14:textId="77777777" w:rsidTr="00A640A9">
        <w:tc>
          <w:tcPr>
            <w:tcW w:w="3116" w:type="dxa"/>
          </w:tcPr>
          <w:p w14:paraId="16089EA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SR0701-000</w:t>
            </w:r>
          </w:p>
        </w:tc>
        <w:tc>
          <w:tcPr>
            <w:tcW w:w="3117" w:type="dxa"/>
          </w:tcPr>
          <w:p w14:paraId="63BA3AC9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Tavalisse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(fostamatinib)</w:t>
            </w:r>
          </w:p>
        </w:tc>
        <w:tc>
          <w:tcPr>
            <w:tcW w:w="3117" w:type="dxa"/>
          </w:tcPr>
          <w:p w14:paraId="7A6E28F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Chronic immune thrombocytopenia (1)</w:t>
            </w:r>
          </w:p>
        </w:tc>
      </w:tr>
      <w:tr w:rsidR="001B246D" w:rsidRPr="001B246D" w14:paraId="61990CF4" w14:textId="77777777" w:rsidTr="00A640A9">
        <w:tc>
          <w:tcPr>
            <w:tcW w:w="3116" w:type="dxa"/>
          </w:tcPr>
          <w:p w14:paraId="44F5C7A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SR0719-000</w:t>
            </w:r>
          </w:p>
        </w:tc>
        <w:tc>
          <w:tcPr>
            <w:tcW w:w="3117" w:type="dxa"/>
          </w:tcPr>
          <w:p w14:paraId="23F9437C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Vabysmo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faricimab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2C9EC28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Macular degeneration, age-related (1)</w:t>
            </w:r>
          </w:p>
        </w:tc>
      </w:tr>
      <w:tr w:rsidR="001B246D" w:rsidRPr="001B246D" w14:paraId="2EFC195E" w14:textId="77777777" w:rsidTr="00A640A9">
        <w:tc>
          <w:tcPr>
            <w:tcW w:w="3116" w:type="dxa"/>
          </w:tcPr>
          <w:p w14:paraId="4792E60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SR0771-000</w:t>
            </w:r>
          </w:p>
        </w:tc>
        <w:tc>
          <w:tcPr>
            <w:tcW w:w="3117" w:type="dxa"/>
          </w:tcPr>
          <w:p w14:paraId="698F57E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Zoryve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(roflumilast)</w:t>
            </w:r>
          </w:p>
        </w:tc>
        <w:tc>
          <w:tcPr>
            <w:tcW w:w="3117" w:type="dxa"/>
          </w:tcPr>
          <w:p w14:paraId="3B2C566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Plaque psoriasis (1)</w:t>
            </w:r>
          </w:p>
        </w:tc>
      </w:tr>
      <w:tr w:rsidR="001B246D" w:rsidRPr="001B246D" w14:paraId="6581CB1F" w14:textId="77777777" w:rsidTr="00A640A9">
        <w:tc>
          <w:tcPr>
            <w:tcW w:w="3116" w:type="dxa"/>
          </w:tcPr>
          <w:p w14:paraId="18660477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SR0686-000</w:t>
            </w:r>
          </w:p>
        </w:tc>
        <w:tc>
          <w:tcPr>
            <w:tcW w:w="3117" w:type="dxa"/>
          </w:tcPr>
          <w:p w14:paraId="1CC6107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Cibinqo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abrocitinib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75735B4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Atopic dermatitis, moderate to severe (2)</w:t>
            </w:r>
          </w:p>
        </w:tc>
      </w:tr>
      <w:tr w:rsidR="001B246D" w:rsidRPr="001B246D" w14:paraId="4F373EE6" w14:textId="77777777" w:rsidTr="00A640A9">
        <w:tc>
          <w:tcPr>
            <w:tcW w:w="3116" w:type="dxa"/>
          </w:tcPr>
          <w:p w14:paraId="3F5A48BE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SR0770-000</w:t>
            </w:r>
          </w:p>
        </w:tc>
        <w:tc>
          <w:tcPr>
            <w:tcW w:w="3117" w:type="dxa"/>
          </w:tcPr>
          <w:p w14:paraId="05A56AC2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Xcopri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cenobamate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35FD3DC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Epilepsy, partial-onset seizures (1)</w:t>
            </w:r>
          </w:p>
        </w:tc>
      </w:tr>
      <w:tr w:rsidR="001B246D" w:rsidRPr="001B246D" w14:paraId="3F33369F" w14:textId="77777777" w:rsidTr="00A640A9">
        <w:tc>
          <w:tcPr>
            <w:tcW w:w="3116" w:type="dxa"/>
          </w:tcPr>
          <w:p w14:paraId="1574EE5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SR0756-000</w:t>
            </w:r>
          </w:p>
        </w:tc>
        <w:tc>
          <w:tcPr>
            <w:tcW w:w="3117" w:type="dxa"/>
          </w:tcPr>
          <w:p w14:paraId="41E7A7C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Sotyktu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deucravacitinib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6F1CCEB7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Psoriasis, moderate to severe plaque (1)</w:t>
            </w:r>
          </w:p>
        </w:tc>
      </w:tr>
      <w:tr w:rsidR="001B246D" w:rsidRPr="001B246D" w14:paraId="49D35691" w14:textId="77777777" w:rsidTr="00A640A9">
        <w:tc>
          <w:tcPr>
            <w:tcW w:w="3116" w:type="dxa"/>
          </w:tcPr>
          <w:p w14:paraId="2AC33A3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lastRenderedPageBreak/>
              <w:t>SR0775-000</w:t>
            </w:r>
          </w:p>
        </w:tc>
        <w:tc>
          <w:tcPr>
            <w:tcW w:w="3117" w:type="dxa"/>
          </w:tcPr>
          <w:p w14:paraId="1E9D42A0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(upadacitinib)</w:t>
            </w:r>
          </w:p>
        </w:tc>
        <w:tc>
          <w:tcPr>
            <w:tcW w:w="3117" w:type="dxa"/>
          </w:tcPr>
          <w:p w14:paraId="1211A42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Crohn’s disease (6)</w:t>
            </w:r>
          </w:p>
        </w:tc>
      </w:tr>
      <w:tr w:rsidR="001B246D" w:rsidRPr="001B246D" w14:paraId="111530E2" w14:textId="77777777" w:rsidTr="00A640A9">
        <w:tc>
          <w:tcPr>
            <w:tcW w:w="3116" w:type="dxa"/>
          </w:tcPr>
          <w:p w14:paraId="4BACCFD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SR0782-000</w:t>
            </w:r>
          </w:p>
        </w:tc>
        <w:tc>
          <w:tcPr>
            <w:tcW w:w="3117" w:type="dxa"/>
          </w:tcPr>
          <w:p w14:paraId="3FAD684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Vyvgart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(efgartigimod alfa)</w:t>
            </w:r>
          </w:p>
        </w:tc>
        <w:tc>
          <w:tcPr>
            <w:tcW w:w="3117" w:type="dxa"/>
          </w:tcPr>
          <w:p w14:paraId="7A86667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Generalized myasthenia gravis (1)</w:t>
            </w:r>
          </w:p>
        </w:tc>
      </w:tr>
      <w:tr w:rsidR="001B246D" w:rsidRPr="001B246D" w14:paraId="3BE59CBF" w14:textId="77777777" w:rsidTr="00A640A9">
        <w:tc>
          <w:tcPr>
            <w:tcW w:w="3116" w:type="dxa"/>
          </w:tcPr>
          <w:p w14:paraId="7500FF2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SR0716-000</w:t>
            </w:r>
          </w:p>
        </w:tc>
        <w:tc>
          <w:tcPr>
            <w:tcW w:w="3117" w:type="dxa"/>
          </w:tcPr>
          <w:p w14:paraId="424A609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Dayvigo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(lemborexant)</w:t>
            </w:r>
          </w:p>
        </w:tc>
        <w:tc>
          <w:tcPr>
            <w:tcW w:w="3117" w:type="dxa"/>
          </w:tcPr>
          <w:p w14:paraId="3A67D1B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Insomnia (1)</w:t>
            </w:r>
          </w:p>
        </w:tc>
      </w:tr>
      <w:tr w:rsidR="001B246D" w:rsidRPr="001B246D" w14:paraId="6F58E2D1" w14:textId="77777777" w:rsidTr="00A640A9">
        <w:tc>
          <w:tcPr>
            <w:tcW w:w="3116" w:type="dxa"/>
          </w:tcPr>
          <w:p w14:paraId="72BB0C7F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SR0747-000</w:t>
            </w:r>
          </w:p>
        </w:tc>
        <w:tc>
          <w:tcPr>
            <w:tcW w:w="3117" w:type="dxa"/>
          </w:tcPr>
          <w:p w14:paraId="0CDB5E6C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Beovu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(brolucizumab)</w:t>
            </w:r>
          </w:p>
        </w:tc>
        <w:tc>
          <w:tcPr>
            <w:tcW w:w="3117" w:type="dxa"/>
          </w:tcPr>
          <w:p w14:paraId="56C2197E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Diabetic macular edema (1)</w:t>
            </w:r>
          </w:p>
        </w:tc>
      </w:tr>
      <w:tr w:rsidR="001B246D" w:rsidRPr="001B246D" w14:paraId="16D8A26F" w14:textId="77777777" w:rsidTr="00A640A9">
        <w:tc>
          <w:tcPr>
            <w:tcW w:w="3116" w:type="dxa"/>
          </w:tcPr>
          <w:p w14:paraId="4002694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SR0746-000</w:t>
            </w:r>
          </w:p>
        </w:tc>
        <w:tc>
          <w:tcPr>
            <w:tcW w:w="3117" w:type="dxa"/>
          </w:tcPr>
          <w:p w14:paraId="378DC4A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Benlysta (belimumab)</w:t>
            </w:r>
          </w:p>
        </w:tc>
        <w:tc>
          <w:tcPr>
            <w:tcW w:w="3117" w:type="dxa"/>
          </w:tcPr>
          <w:p w14:paraId="54BDF7CF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Lupus nephritis (2)</w:t>
            </w:r>
          </w:p>
        </w:tc>
      </w:tr>
      <w:tr w:rsidR="001B246D" w:rsidRPr="001B246D" w14:paraId="09C25031" w14:textId="77777777" w:rsidTr="00A640A9">
        <w:tc>
          <w:tcPr>
            <w:tcW w:w="3116" w:type="dxa"/>
          </w:tcPr>
          <w:p w14:paraId="0FDC34D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SR0741-000</w:t>
            </w:r>
          </w:p>
        </w:tc>
        <w:tc>
          <w:tcPr>
            <w:tcW w:w="3117" w:type="dxa"/>
          </w:tcPr>
          <w:p w14:paraId="0DE3347C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Ferriprox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(deferiprone)</w:t>
            </w:r>
          </w:p>
        </w:tc>
        <w:tc>
          <w:tcPr>
            <w:tcW w:w="3117" w:type="dxa"/>
          </w:tcPr>
          <w:p w14:paraId="6061248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Transfusional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iron overload (1)</w:t>
            </w:r>
          </w:p>
        </w:tc>
      </w:tr>
      <w:tr w:rsidR="001B246D" w:rsidRPr="001B246D" w14:paraId="7A5D7DF0" w14:textId="77777777" w:rsidTr="00A640A9">
        <w:tc>
          <w:tcPr>
            <w:tcW w:w="3116" w:type="dxa"/>
          </w:tcPr>
          <w:p w14:paraId="7E8B2DC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SR0711-000</w:t>
            </w:r>
          </w:p>
        </w:tc>
        <w:tc>
          <w:tcPr>
            <w:tcW w:w="3117" w:type="dxa"/>
          </w:tcPr>
          <w:p w14:paraId="3C68448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Albrioza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(sodium phenylbutyrate and 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ursodoxicoltaurine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07198DB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Amyotrophic lateral sclerosis (1)</w:t>
            </w:r>
          </w:p>
        </w:tc>
      </w:tr>
      <w:tr w:rsidR="001B246D" w:rsidRPr="001B246D" w14:paraId="4E13B7E7" w14:textId="77777777" w:rsidTr="00A640A9">
        <w:tc>
          <w:tcPr>
            <w:tcW w:w="3116" w:type="dxa"/>
          </w:tcPr>
          <w:p w14:paraId="6FB55AB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SR0724-000</w:t>
            </w:r>
          </w:p>
        </w:tc>
        <w:tc>
          <w:tcPr>
            <w:tcW w:w="3117" w:type="dxa"/>
          </w:tcPr>
          <w:p w14:paraId="1B6537E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Qulipta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atogepant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151E7FA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gramStart"/>
            <w:r w:rsidRPr="001B246D">
              <w:rPr>
                <w:rFonts w:ascii="Calibri" w:hAnsi="Calibri"/>
                <w:szCs w:val="24"/>
                <w:lang w:val="en-US"/>
              </w:rPr>
              <w:t>Migraine,</w:t>
            </w:r>
            <w:proofErr w:type="gramEnd"/>
            <w:r w:rsidRPr="001B246D">
              <w:rPr>
                <w:rFonts w:ascii="Calibri" w:hAnsi="Calibri"/>
                <w:szCs w:val="24"/>
                <w:lang w:val="en-US"/>
              </w:rPr>
              <w:t xml:space="preserve"> prevention (6)</w:t>
            </w:r>
          </w:p>
        </w:tc>
      </w:tr>
      <w:tr w:rsidR="001B246D" w:rsidRPr="001B246D" w14:paraId="2D639E97" w14:textId="77777777" w:rsidTr="00A640A9">
        <w:tc>
          <w:tcPr>
            <w:tcW w:w="3116" w:type="dxa"/>
          </w:tcPr>
          <w:p w14:paraId="6583066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SR0704-000</w:t>
            </w:r>
          </w:p>
        </w:tc>
        <w:tc>
          <w:tcPr>
            <w:tcW w:w="3117" w:type="dxa"/>
          </w:tcPr>
          <w:p w14:paraId="6E98EC43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Oxervate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cenegermin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7BACC08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Neurotrophic keratitis (1)</w:t>
            </w:r>
          </w:p>
        </w:tc>
      </w:tr>
      <w:tr w:rsidR="001B246D" w:rsidRPr="001B246D" w14:paraId="659016BE" w14:textId="77777777" w:rsidTr="00A640A9">
        <w:tc>
          <w:tcPr>
            <w:tcW w:w="3116" w:type="dxa"/>
          </w:tcPr>
          <w:p w14:paraId="61C7D7B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SR0685-000</w:t>
            </w:r>
          </w:p>
        </w:tc>
        <w:tc>
          <w:tcPr>
            <w:tcW w:w="3117" w:type="dxa"/>
          </w:tcPr>
          <w:p w14:paraId="4AAAEDDB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(upadacitinib)</w:t>
            </w:r>
          </w:p>
        </w:tc>
        <w:tc>
          <w:tcPr>
            <w:tcW w:w="3117" w:type="dxa"/>
          </w:tcPr>
          <w:p w14:paraId="1A73BFC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Atopic dermatitis (2)</w:t>
            </w:r>
          </w:p>
        </w:tc>
      </w:tr>
      <w:tr w:rsidR="001B246D" w:rsidRPr="001B246D" w14:paraId="39537B3C" w14:textId="77777777" w:rsidTr="00A640A9">
        <w:tc>
          <w:tcPr>
            <w:tcW w:w="3116" w:type="dxa"/>
          </w:tcPr>
          <w:p w14:paraId="63C569B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SR0748-000</w:t>
            </w:r>
          </w:p>
        </w:tc>
        <w:tc>
          <w:tcPr>
            <w:tcW w:w="3117" w:type="dxa"/>
          </w:tcPr>
          <w:p w14:paraId="27765506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Empaveli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pegcetacoplan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01A88719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Paroxysmal nocturnal hemoglobinuria (1)</w:t>
            </w:r>
          </w:p>
        </w:tc>
      </w:tr>
      <w:tr w:rsidR="001B246D" w:rsidRPr="001B246D" w14:paraId="00FD8E48" w14:textId="77777777" w:rsidTr="00A640A9">
        <w:tc>
          <w:tcPr>
            <w:tcW w:w="3116" w:type="dxa"/>
          </w:tcPr>
          <w:p w14:paraId="52AB8CA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SR0698-000</w:t>
            </w:r>
          </w:p>
        </w:tc>
        <w:tc>
          <w:tcPr>
            <w:tcW w:w="3117" w:type="dxa"/>
          </w:tcPr>
          <w:p w14:paraId="1A3EEE02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Bimzelx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bimekizumab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7B3D7D5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Psoriasis, moderate to severe plaque (1)</w:t>
            </w:r>
          </w:p>
        </w:tc>
      </w:tr>
      <w:tr w:rsidR="001B246D" w:rsidRPr="001B246D" w14:paraId="0660F3A6" w14:textId="77777777" w:rsidTr="00A640A9">
        <w:tc>
          <w:tcPr>
            <w:tcW w:w="3116" w:type="dxa"/>
          </w:tcPr>
          <w:p w14:paraId="1A480B6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SR0759-000</w:t>
            </w:r>
          </w:p>
        </w:tc>
        <w:tc>
          <w:tcPr>
            <w:tcW w:w="3117" w:type="dxa"/>
          </w:tcPr>
          <w:p w14:paraId="58E9CDC0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(upadacitinib)</w:t>
            </w:r>
          </w:p>
        </w:tc>
        <w:tc>
          <w:tcPr>
            <w:tcW w:w="3117" w:type="dxa"/>
          </w:tcPr>
          <w:p w14:paraId="1C871C9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Ankylosing spondylitis (2)</w:t>
            </w:r>
          </w:p>
        </w:tc>
      </w:tr>
      <w:tr w:rsidR="001B246D" w:rsidRPr="001B246D" w14:paraId="2ECE040E" w14:textId="77777777" w:rsidTr="00A640A9">
        <w:tc>
          <w:tcPr>
            <w:tcW w:w="3116" w:type="dxa"/>
          </w:tcPr>
          <w:p w14:paraId="506FE78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SR0767-000</w:t>
            </w:r>
          </w:p>
        </w:tc>
        <w:tc>
          <w:tcPr>
            <w:tcW w:w="3117" w:type="dxa"/>
          </w:tcPr>
          <w:p w14:paraId="7011A657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Skyrizi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risankizumab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70274D5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Crohn's disease (2)</w:t>
            </w:r>
          </w:p>
        </w:tc>
      </w:tr>
      <w:tr w:rsidR="001B246D" w:rsidRPr="001B246D" w14:paraId="45F6D463" w14:textId="77777777" w:rsidTr="00A640A9">
        <w:tc>
          <w:tcPr>
            <w:tcW w:w="3116" w:type="dxa"/>
          </w:tcPr>
          <w:p w14:paraId="307E48A8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SR0773-000</w:t>
            </w:r>
          </w:p>
        </w:tc>
        <w:tc>
          <w:tcPr>
            <w:tcW w:w="3117" w:type="dxa"/>
          </w:tcPr>
          <w:p w14:paraId="77B6180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Omvoh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mirikizumab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1FC43A2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Ulcerative colitis (2)</w:t>
            </w:r>
          </w:p>
        </w:tc>
      </w:tr>
      <w:tr w:rsidR="001B246D" w:rsidRPr="001B246D" w14:paraId="5375B448" w14:textId="77777777" w:rsidTr="00A640A9">
        <w:tc>
          <w:tcPr>
            <w:tcW w:w="3116" w:type="dxa"/>
          </w:tcPr>
          <w:p w14:paraId="293EAFFC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SR0733-000</w:t>
            </w:r>
          </w:p>
        </w:tc>
        <w:tc>
          <w:tcPr>
            <w:tcW w:w="3117" w:type="dxa"/>
          </w:tcPr>
          <w:p w14:paraId="64F21E1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Tremfya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guselkumab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3779B73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Psoriatic arthritis (2)</w:t>
            </w:r>
          </w:p>
        </w:tc>
      </w:tr>
      <w:tr w:rsidR="001B246D" w:rsidRPr="001B246D" w14:paraId="06720C3B" w14:textId="77777777" w:rsidTr="00A640A9">
        <w:tc>
          <w:tcPr>
            <w:tcW w:w="3116" w:type="dxa"/>
          </w:tcPr>
          <w:p w14:paraId="6592140F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SR0714-000</w:t>
            </w:r>
          </w:p>
        </w:tc>
        <w:tc>
          <w:tcPr>
            <w:tcW w:w="3117" w:type="dxa"/>
          </w:tcPr>
          <w:p w14:paraId="30185E7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Zeposia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(ozanimod)</w:t>
            </w:r>
          </w:p>
        </w:tc>
        <w:tc>
          <w:tcPr>
            <w:tcW w:w="3117" w:type="dxa"/>
          </w:tcPr>
          <w:p w14:paraId="31EDAF7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Ulcerative colitis (2)</w:t>
            </w:r>
          </w:p>
        </w:tc>
      </w:tr>
      <w:tr w:rsidR="001B246D" w:rsidRPr="001B246D" w14:paraId="4ABE46F1" w14:textId="77777777" w:rsidTr="00A640A9">
        <w:tc>
          <w:tcPr>
            <w:tcW w:w="3116" w:type="dxa"/>
          </w:tcPr>
          <w:p w14:paraId="604BE14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SR0779-000</w:t>
            </w:r>
          </w:p>
        </w:tc>
        <w:tc>
          <w:tcPr>
            <w:tcW w:w="3117" w:type="dxa"/>
          </w:tcPr>
          <w:p w14:paraId="5A0EB404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Sogroya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somapacitan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011CD905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Growth hormone deficiency (1)</w:t>
            </w:r>
          </w:p>
        </w:tc>
      </w:tr>
      <w:tr w:rsidR="001B246D" w:rsidRPr="001B246D" w14:paraId="5C69B10F" w14:textId="77777777" w:rsidTr="00A640A9">
        <w:tc>
          <w:tcPr>
            <w:tcW w:w="3116" w:type="dxa"/>
          </w:tcPr>
          <w:p w14:paraId="00B47940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SR0726-000</w:t>
            </w:r>
          </w:p>
        </w:tc>
        <w:tc>
          <w:tcPr>
            <w:tcW w:w="3117" w:type="dxa"/>
          </w:tcPr>
          <w:p w14:paraId="269C4832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Jardiance (empagliflozin)</w:t>
            </w:r>
          </w:p>
        </w:tc>
        <w:tc>
          <w:tcPr>
            <w:tcW w:w="3117" w:type="dxa"/>
          </w:tcPr>
          <w:p w14:paraId="548A65A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Heart failure (2)</w:t>
            </w:r>
          </w:p>
        </w:tc>
      </w:tr>
      <w:tr w:rsidR="001B246D" w:rsidRPr="001B246D" w14:paraId="44722DE7" w14:textId="77777777" w:rsidTr="00A640A9">
        <w:tc>
          <w:tcPr>
            <w:tcW w:w="3116" w:type="dxa"/>
          </w:tcPr>
          <w:p w14:paraId="5DBA6D41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SR0729-000</w:t>
            </w:r>
          </w:p>
        </w:tc>
        <w:tc>
          <w:tcPr>
            <w:tcW w:w="3117" w:type="dxa"/>
          </w:tcPr>
          <w:p w14:paraId="53FE4A87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Vabysmo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faricimab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>)</w:t>
            </w:r>
          </w:p>
        </w:tc>
        <w:tc>
          <w:tcPr>
            <w:tcW w:w="3117" w:type="dxa"/>
          </w:tcPr>
          <w:p w14:paraId="5D7DF6CE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Diabetic macular edema (1)</w:t>
            </w:r>
          </w:p>
        </w:tc>
      </w:tr>
      <w:tr w:rsidR="001B246D" w:rsidRPr="001B246D" w14:paraId="53801932" w14:textId="77777777" w:rsidTr="00A640A9">
        <w:tc>
          <w:tcPr>
            <w:tcW w:w="3116" w:type="dxa"/>
          </w:tcPr>
          <w:p w14:paraId="6B57D46D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SR0730-000</w:t>
            </w:r>
          </w:p>
        </w:tc>
        <w:tc>
          <w:tcPr>
            <w:tcW w:w="3117" w:type="dxa"/>
          </w:tcPr>
          <w:p w14:paraId="237D4DD0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Cs w:val="24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Cs w:val="24"/>
                <w:lang w:val="en-US"/>
              </w:rPr>
              <w:t xml:space="preserve"> (upadacitinib)</w:t>
            </w:r>
          </w:p>
        </w:tc>
        <w:tc>
          <w:tcPr>
            <w:tcW w:w="3117" w:type="dxa"/>
          </w:tcPr>
          <w:p w14:paraId="191EF3EA" w14:textId="77777777" w:rsidR="001B246D" w:rsidRPr="001B246D" w:rsidRDefault="001B246D" w:rsidP="00A640A9">
            <w:pPr>
              <w:rPr>
                <w:rFonts w:ascii="Calibri" w:hAnsi="Calibri"/>
                <w:szCs w:val="24"/>
                <w:lang w:val="en-US"/>
              </w:rPr>
            </w:pPr>
            <w:r w:rsidRPr="001B246D">
              <w:rPr>
                <w:rFonts w:ascii="Calibri" w:hAnsi="Calibri"/>
                <w:szCs w:val="24"/>
                <w:lang w:val="en-US"/>
              </w:rPr>
              <w:t>Ulcerative colitis (2)</w:t>
            </w:r>
          </w:p>
        </w:tc>
      </w:tr>
    </w:tbl>
    <w:p w14:paraId="5CFD529E" w14:textId="77777777" w:rsidR="001B246D" w:rsidRPr="001B246D" w:rsidRDefault="001B246D">
      <w:pPr>
        <w:spacing w:before="0" w:after="160" w:line="278" w:lineRule="auto"/>
        <w:jc w:val="left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</w:pPr>
      <w:r w:rsidRPr="001B246D">
        <w:rPr>
          <w:lang w:val="en-US"/>
        </w:rPr>
        <w:br w:type="page"/>
      </w:r>
    </w:p>
    <w:p w14:paraId="49045FA4" w14:textId="4713C870" w:rsidR="001B246D" w:rsidRPr="001B246D" w:rsidRDefault="001B246D" w:rsidP="001B246D">
      <w:pPr>
        <w:pStyle w:val="Heading1"/>
        <w:spacing w:before="0"/>
        <w:ind w:left="431" w:hanging="431"/>
        <w:rPr>
          <w:lang w:val="en-US"/>
        </w:rPr>
      </w:pPr>
      <w:r w:rsidRPr="001B246D">
        <w:rPr>
          <w:lang w:val="en-US"/>
        </w:rPr>
        <w:lastRenderedPageBreak/>
        <w:t>Appendix 2</w:t>
      </w:r>
    </w:p>
    <w:p w14:paraId="47D5FFDA" w14:textId="77777777" w:rsidR="001B246D" w:rsidRPr="001B246D" w:rsidRDefault="001B246D" w:rsidP="001B246D">
      <w:pPr>
        <w:rPr>
          <w:b/>
          <w:bCs/>
          <w:u w:val="single"/>
          <w:lang w:val="en-US" w:eastAsia="en-US"/>
        </w:rPr>
      </w:pPr>
      <w:r w:rsidRPr="001B246D">
        <w:rPr>
          <w:b/>
          <w:bCs/>
          <w:u w:val="single"/>
          <w:lang w:val="en-US" w:eastAsia="en-US"/>
        </w:rPr>
        <w:t xml:space="preserve">Comparison Between Oncology and Non-oncology Products </w:t>
      </w:r>
    </w:p>
    <w:p w14:paraId="77C53B5D" w14:textId="77777777" w:rsidR="001B246D" w:rsidRPr="001B246D" w:rsidRDefault="001B246D" w:rsidP="001B246D">
      <w:pPr>
        <w:spacing w:line="276" w:lineRule="auto"/>
        <w:rPr>
          <w:lang w:val="en-US"/>
        </w:rPr>
      </w:pPr>
      <w:r w:rsidRPr="001B246D">
        <w:rPr>
          <w:lang w:val="en-US"/>
        </w:rPr>
        <w:t xml:space="preserve">CDA-AMC chose a comparator that was not the </w:t>
      </w:r>
      <w:proofErr w:type="gramStart"/>
      <w:r w:rsidRPr="001B246D">
        <w:rPr>
          <w:lang w:val="en-US"/>
        </w:rPr>
        <w:t>most commonly used</w:t>
      </w:r>
      <w:proofErr w:type="gramEnd"/>
      <w:r w:rsidRPr="001B246D">
        <w:rPr>
          <w:lang w:val="en-US"/>
        </w:rPr>
        <w:t xml:space="preserve"> in clinical practice in 7 of 13 (54%) and 18 of 47 (38%) reimbursement recommendations for oncology and non-oncology products, respectively (Figure S1). In all 13 reimbursement recommendations for oncology products, the CDA-AMC chosen comparators were not included in the pivotal clinical trials for the submitted products. Among non-oncology products, the CDA-AMC chosen comparators were not included in the pivotal clinical trials for the submitted products in 33 of 47 (70%) reimbursement recommendations.</w:t>
      </w:r>
    </w:p>
    <w:p w14:paraId="192AE326" w14:textId="77777777" w:rsidR="001B246D" w:rsidRPr="001B246D" w:rsidRDefault="001B246D" w:rsidP="001B246D">
      <w:pPr>
        <w:spacing w:line="276" w:lineRule="auto"/>
        <w:rPr>
          <w:b/>
          <w:bCs/>
          <w:lang w:val="en-US"/>
        </w:rPr>
      </w:pPr>
      <w:bookmarkStart w:id="0" w:name="_Ref200698035"/>
    </w:p>
    <w:p w14:paraId="64835193" w14:textId="32B9B393" w:rsidR="001B246D" w:rsidRPr="001B246D" w:rsidRDefault="001B246D" w:rsidP="001B246D">
      <w:pPr>
        <w:spacing w:line="276" w:lineRule="auto"/>
        <w:rPr>
          <w:b/>
          <w:bCs/>
          <w:lang w:val="en-US"/>
        </w:rPr>
      </w:pPr>
      <w:r w:rsidRPr="001B246D">
        <w:rPr>
          <w:b/>
          <w:bCs/>
          <w:lang w:val="en-US"/>
        </w:rPr>
        <w:t xml:space="preserve">Figure </w:t>
      </w:r>
      <w:bookmarkEnd w:id="0"/>
      <w:r w:rsidRPr="001B246D">
        <w:rPr>
          <w:b/>
          <w:bCs/>
          <w:lang w:val="en-US"/>
        </w:rPr>
        <w:t>S1. Distribution of CDA-AMC Chosen Comparator Based on Their Use in Clinical Practice – Oncology (N = 13) vs. Non-oncology (N = 47) Products</w:t>
      </w:r>
    </w:p>
    <w:p w14:paraId="1CDD58BC" w14:textId="4632C3FD" w:rsidR="001B246D" w:rsidRPr="001B246D" w:rsidRDefault="001B246D" w:rsidP="001B246D">
      <w:pPr>
        <w:spacing w:line="276" w:lineRule="auto"/>
        <w:rPr>
          <w:b/>
          <w:bCs/>
          <w:lang w:val="en-US"/>
        </w:rPr>
      </w:pPr>
      <w:r w:rsidRPr="001B246D">
        <w:rPr>
          <w:noProof/>
          <w:lang w:val="en-US"/>
        </w:rPr>
        <w:drawing>
          <wp:inline distT="0" distB="0" distL="0" distR="0" wp14:anchorId="2495A145" wp14:editId="54574332">
            <wp:extent cx="5731510" cy="3224081"/>
            <wp:effectExtent l="0" t="0" r="2540" b="0"/>
            <wp:docPr id="1576851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851271" name="Picture 157685127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1E016" w14:textId="77777777" w:rsidR="001B246D" w:rsidRPr="001B246D" w:rsidRDefault="001B246D" w:rsidP="001B246D">
      <w:pPr>
        <w:spacing w:before="0" w:after="0" w:line="276" w:lineRule="auto"/>
        <w:rPr>
          <w:b/>
          <w:bCs/>
          <w:sz w:val="16"/>
          <w:szCs w:val="18"/>
          <w:lang w:val="en-US"/>
        </w:rPr>
      </w:pPr>
      <w:r w:rsidRPr="001B246D">
        <w:rPr>
          <w:b/>
          <w:bCs/>
          <w:sz w:val="16"/>
          <w:szCs w:val="16"/>
          <w:lang w:val="en-US"/>
        </w:rPr>
        <w:t xml:space="preserve">Abbreviations: </w:t>
      </w:r>
      <w:r w:rsidRPr="001B246D">
        <w:rPr>
          <w:sz w:val="16"/>
          <w:szCs w:val="16"/>
          <w:lang w:val="en-US"/>
        </w:rPr>
        <w:t xml:space="preserve">CDA-AMC = Canada’s Drug Agency – </w:t>
      </w:r>
      <w:proofErr w:type="spellStart"/>
      <w:r w:rsidRPr="001B246D">
        <w:rPr>
          <w:sz w:val="16"/>
          <w:szCs w:val="16"/>
          <w:lang w:val="en-US"/>
        </w:rPr>
        <w:t>L’Agence</w:t>
      </w:r>
      <w:proofErr w:type="spellEnd"/>
      <w:r w:rsidRPr="001B246D">
        <w:rPr>
          <w:sz w:val="16"/>
          <w:szCs w:val="16"/>
          <w:lang w:val="en-US"/>
        </w:rPr>
        <w:t xml:space="preserve"> des medicaments du Canada.</w:t>
      </w:r>
      <w:r w:rsidRPr="001B246D">
        <w:rPr>
          <w:b/>
          <w:bCs/>
          <w:sz w:val="16"/>
          <w:szCs w:val="18"/>
          <w:lang w:val="en-US"/>
        </w:rPr>
        <w:t xml:space="preserve"> </w:t>
      </w:r>
    </w:p>
    <w:p w14:paraId="471EAA3F" w14:textId="77777777" w:rsidR="001B246D" w:rsidRPr="001B246D" w:rsidRDefault="001B246D" w:rsidP="001B246D">
      <w:pPr>
        <w:spacing w:before="0" w:after="0" w:line="276" w:lineRule="auto"/>
        <w:rPr>
          <w:sz w:val="16"/>
          <w:szCs w:val="18"/>
          <w:lang w:val="en-US"/>
        </w:rPr>
      </w:pPr>
      <w:r w:rsidRPr="001B246D">
        <w:rPr>
          <w:b/>
          <w:bCs/>
          <w:sz w:val="16"/>
          <w:szCs w:val="18"/>
          <w:lang w:val="en-US"/>
        </w:rPr>
        <w:t>Note:</w:t>
      </w:r>
      <w:r w:rsidRPr="001B246D">
        <w:rPr>
          <w:sz w:val="16"/>
          <w:szCs w:val="18"/>
          <w:lang w:val="en-US"/>
        </w:rPr>
        <w:t xml:space="preserve"> Use in clinical practice was based on market share data reported in the reimbursement review report. </w:t>
      </w:r>
    </w:p>
    <w:p w14:paraId="7E760F45" w14:textId="77777777" w:rsidR="001B246D" w:rsidRPr="001B246D" w:rsidRDefault="001B246D" w:rsidP="001B246D">
      <w:pPr>
        <w:spacing w:before="0" w:after="0" w:line="276" w:lineRule="auto"/>
        <w:rPr>
          <w:sz w:val="16"/>
          <w:szCs w:val="18"/>
          <w:lang w:val="en-US"/>
        </w:rPr>
      </w:pPr>
      <w:r w:rsidRPr="001B246D">
        <w:rPr>
          <w:sz w:val="16"/>
          <w:szCs w:val="18"/>
          <w:lang w:val="en-US"/>
        </w:rPr>
        <w:t>Most commonly used = comparator with the largest market share among all comparators in the reimbursement review; Not most commonly used = comparator that did not have the largest market share among the comparators in the reimbursement review; Similar use = comparator with an equal market share to all other comparators in the reimbursement review; Inconclusive = market share data were not reported.</w:t>
      </w:r>
    </w:p>
    <w:p w14:paraId="77888AFC" w14:textId="77777777" w:rsidR="001B246D" w:rsidRPr="001B246D" w:rsidRDefault="001B246D" w:rsidP="001B246D">
      <w:pPr>
        <w:spacing w:line="276" w:lineRule="auto"/>
        <w:rPr>
          <w:lang w:val="en-US"/>
        </w:rPr>
      </w:pPr>
    </w:p>
    <w:p w14:paraId="1234C8D9" w14:textId="1D58ECFE" w:rsidR="001B246D" w:rsidRPr="001B246D" w:rsidRDefault="001B246D" w:rsidP="001B246D">
      <w:pPr>
        <w:spacing w:line="276" w:lineRule="auto"/>
        <w:rPr>
          <w:lang w:val="en-US"/>
        </w:rPr>
      </w:pPr>
      <w:r w:rsidRPr="001B246D">
        <w:rPr>
          <w:lang w:val="en-US"/>
        </w:rPr>
        <w:t xml:space="preserve">Among the recommendations where CDA-AMC chose a comparator not most commonly used in clinical practice, the median market share of the chosen comparator was 5.0% (range: 0% to 26%) among oncology products and 9.6% (range: 0% to 28.5%) among non-oncology products; these values were 63.2% (range: 49.0% to 90.5%) and 65.4% (range: 43.2% to 100%), respectively, among recommendations where the chosen comparator was the most commonly used comparator. </w:t>
      </w:r>
    </w:p>
    <w:p w14:paraId="426662EB" w14:textId="77777777" w:rsidR="001B246D" w:rsidRPr="001B246D" w:rsidRDefault="001B246D" w:rsidP="001B246D">
      <w:pPr>
        <w:spacing w:line="276" w:lineRule="auto"/>
        <w:rPr>
          <w:lang w:val="en-US"/>
        </w:rPr>
      </w:pPr>
    </w:p>
    <w:p w14:paraId="0E09ED33" w14:textId="77777777" w:rsidR="001B246D" w:rsidRPr="001B246D" w:rsidRDefault="001B246D" w:rsidP="001B246D">
      <w:pPr>
        <w:spacing w:line="276" w:lineRule="auto"/>
        <w:rPr>
          <w:lang w:val="en-US"/>
        </w:rPr>
      </w:pPr>
      <w:r w:rsidRPr="001B246D">
        <w:rPr>
          <w:lang w:val="en-US"/>
        </w:rPr>
        <w:lastRenderedPageBreak/>
        <w:t xml:space="preserve">Furthermore, among recommendations for oncology products where the CDA-AMC chosen comparator was not the most commonly used in clinical practice, over half (4) of the chosen comparators represented &lt;10% of the market share and another one </w:t>
      </w:r>
      <w:proofErr w:type="gramStart"/>
      <w:r w:rsidRPr="001B246D">
        <w:rPr>
          <w:lang w:val="en-US"/>
        </w:rPr>
        <w:t xml:space="preserve">represented </w:t>
      </w:r>
      <w:r w:rsidRPr="001B246D">
        <w:rPr>
          <w:rFonts w:cstheme="minorHAnsi"/>
          <w:lang w:val="en-US"/>
        </w:rPr>
        <w:t>≥</w:t>
      </w:r>
      <w:r w:rsidRPr="001B246D">
        <w:rPr>
          <w:lang w:val="en-US"/>
        </w:rPr>
        <w:t>10 to</w:t>
      </w:r>
      <w:proofErr w:type="gramEnd"/>
      <w:r w:rsidRPr="001B246D">
        <w:rPr>
          <w:lang w:val="en-US"/>
        </w:rPr>
        <w:t xml:space="preserve"> &lt;20% of the market share (Figure S2). The distribution of market shares was generally similar among these recommendations for non-oncology products. Additionally, in 3 of 7 (43%) of the comparators selected by CDA-AMC for oncology products, the comparator was the least expensive treatment option (Figure S3). For non-oncology products, the comparator selected by CDA-AMC was the least expensive treatment option in 10 of 18 (56%) recommendations.</w:t>
      </w:r>
      <w:bookmarkStart w:id="1" w:name="_Ref200377388"/>
    </w:p>
    <w:p w14:paraId="75552235" w14:textId="77777777" w:rsidR="001B246D" w:rsidRPr="001B246D" w:rsidRDefault="001B246D" w:rsidP="001B246D">
      <w:pPr>
        <w:spacing w:line="276" w:lineRule="auto"/>
        <w:rPr>
          <w:lang w:val="en-US"/>
        </w:rPr>
      </w:pPr>
    </w:p>
    <w:p w14:paraId="2DDD7221" w14:textId="77777777" w:rsidR="001B246D" w:rsidRPr="001B246D" w:rsidRDefault="001B246D" w:rsidP="001B246D">
      <w:pPr>
        <w:spacing w:line="276" w:lineRule="auto"/>
        <w:rPr>
          <w:b/>
          <w:bCs/>
          <w:lang w:val="en-US"/>
        </w:rPr>
      </w:pPr>
      <w:bookmarkStart w:id="2" w:name="_Ref200698359"/>
      <w:bookmarkEnd w:id="1"/>
      <w:r w:rsidRPr="001B246D">
        <w:rPr>
          <w:b/>
          <w:bCs/>
          <w:lang w:val="en-US"/>
        </w:rPr>
        <w:t xml:space="preserve">Figure </w:t>
      </w:r>
      <w:bookmarkEnd w:id="2"/>
      <w:r w:rsidRPr="001B246D">
        <w:rPr>
          <w:b/>
          <w:bCs/>
          <w:lang w:val="en-US"/>
        </w:rPr>
        <w:t>S2. Distribution of Market Shares of CDA-AMC Chosen Comparator Not Most Commonly Used in Clinical Practice – Oncology (N = 7) vs. Non-oncology (N = 18) Products</w:t>
      </w:r>
    </w:p>
    <w:p w14:paraId="23702319" w14:textId="45506176" w:rsidR="001B246D" w:rsidRPr="001B246D" w:rsidRDefault="001B246D" w:rsidP="001B246D">
      <w:pPr>
        <w:spacing w:line="276" w:lineRule="auto"/>
        <w:rPr>
          <w:noProof/>
          <w:lang w:val="en-US"/>
        </w:rPr>
      </w:pPr>
      <w:r w:rsidRPr="001B246D">
        <w:rPr>
          <w:noProof/>
          <w:lang w:val="en-US"/>
        </w:rPr>
        <w:drawing>
          <wp:inline distT="0" distB="0" distL="0" distR="0" wp14:anchorId="37B7CB40" wp14:editId="10875F64">
            <wp:extent cx="5731510" cy="3223903"/>
            <wp:effectExtent l="0" t="0" r="2540" b="0"/>
            <wp:docPr id="97525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5956" name="Picture 975259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3805" w14:textId="77777777" w:rsidR="001B246D" w:rsidRPr="001B246D" w:rsidRDefault="001B246D" w:rsidP="001B246D">
      <w:pPr>
        <w:spacing w:before="0" w:after="0" w:line="276" w:lineRule="auto"/>
        <w:rPr>
          <w:sz w:val="16"/>
          <w:szCs w:val="16"/>
          <w:lang w:val="en-US"/>
        </w:rPr>
      </w:pPr>
      <w:r w:rsidRPr="001B246D">
        <w:rPr>
          <w:b/>
          <w:bCs/>
          <w:sz w:val="16"/>
          <w:szCs w:val="16"/>
          <w:lang w:val="en-US"/>
        </w:rPr>
        <w:t xml:space="preserve">Abbreviations: </w:t>
      </w:r>
      <w:r w:rsidRPr="001B246D">
        <w:rPr>
          <w:sz w:val="16"/>
          <w:szCs w:val="16"/>
          <w:lang w:val="en-US"/>
        </w:rPr>
        <w:t xml:space="preserve">CDA-AMC = Canada’s Drug Agency – </w:t>
      </w:r>
      <w:proofErr w:type="spellStart"/>
      <w:r w:rsidRPr="001B246D">
        <w:rPr>
          <w:sz w:val="16"/>
          <w:szCs w:val="16"/>
          <w:lang w:val="en-US"/>
        </w:rPr>
        <w:t>L’Agence</w:t>
      </w:r>
      <w:proofErr w:type="spellEnd"/>
      <w:r w:rsidRPr="001B246D">
        <w:rPr>
          <w:sz w:val="16"/>
          <w:szCs w:val="16"/>
          <w:lang w:val="en-US"/>
        </w:rPr>
        <w:t xml:space="preserve"> des medicaments du Canada.</w:t>
      </w:r>
    </w:p>
    <w:p w14:paraId="1D14EBAA" w14:textId="77777777" w:rsidR="001B246D" w:rsidRPr="001B246D" w:rsidRDefault="001B246D" w:rsidP="001B246D">
      <w:pPr>
        <w:spacing w:line="276" w:lineRule="auto"/>
        <w:rPr>
          <w:b/>
          <w:bCs/>
          <w:lang w:val="en-US"/>
        </w:rPr>
      </w:pPr>
    </w:p>
    <w:p w14:paraId="46A1960D" w14:textId="77777777" w:rsidR="001B246D" w:rsidRPr="001B246D" w:rsidRDefault="001B246D" w:rsidP="001B246D">
      <w:pPr>
        <w:spacing w:line="276" w:lineRule="auto"/>
        <w:rPr>
          <w:b/>
          <w:bCs/>
          <w:lang w:val="en-US"/>
        </w:rPr>
      </w:pPr>
      <w:bookmarkStart w:id="3" w:name="_Ref206081378"/>
      <w:r w:rsidRPr="001B246D">
        <w:rPr>
          <w:b/>
          <w:bCs/>
          <w:lang w:val="en-US"/>
        </w:rPr>
        <w:t xml:space="preserve">Figure </w:t>
      </w:r>
      <w:bookmarkEnd w:id="3"/>
      <w:r w:rsidRPr="001B246D">
        <w:rPr>
          <w:b/>
          <w:bCs/>
          <w:lang w:val="en-US"/>
        </w:rPr>
        <w:t>S3. Cost of CDA-AMC Chosen Comparator Not Most Commonly Used in Clinical Practice – Oncology (N = 7) vs. Non-oncology (N = 18) Products</w:t>
      </w:r>
    </w:p>
    <w:p w14:paraId="40063A87" w14:textId="67564C3F" w:rsidR="001B246D" w:rsidRPr="001B246D" w:rsidRDefault="001B246D" w:rsidP="001B246D">
      <w:pPr>
        <w:spacing w:line="276" w:lineRule="auto"/>
        <w:rPr>
          <w:lang w:val="en-US"/>
        </w:rPr>
      </w:pPr>
      <w:r w:rsidRPr="001B246D">
        <w:rPr>
          <w:noProof/>
          <w:lang w:val="en-US"/>
        </w:rPr>
        <w:lastRenderedPageBreak/>
        <w:drawing>
          <wp:inline distT="0" distB="0" distL="0" distR="0" wp14:anchorId="74B807B1" wp14:editId="54CA91A0">
            <wp:extent cx="5731510" cy="3223700"/>
            <wp:effectExtent l="0" t="0" r="2540" b="0"/>
            <wp:docPr id="1763511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511308" name="Picture 17635113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76810" w14:textId="5D58D23B" w:rsidR="001B246D" w:rsidRPr="001B246D" w:rsidRDefault="001B246D" w:rsidP="001B246D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en-US"/>
        </w:rPr>
      </w:pPr>
      <w:r w:rsidRPr="001B246D">
        <w:rPr>
          <w:b/>
          <w:bCs/>
          <w:sz w:val="16"/>
          <w:szCs w:val="16"/>
          <w:lang w:val="en-US"/>
        </w:rPr>
        <w:t xml:space="preserve">Abbreviations: </w:t>
      </w:r>
      <w:r w:rsidRPr="001B246D">
        <w:rPr>
          <w:sz w:val="16"/>
          <w:szCs w:val="16"/>
          <w:lang w:val="en-US"/>
        </w:rPr>
        <w:t xml:space="preserve">CDA-AMC = Canada’s Drug Agency – </w:t>
      </w:r>
      <w:proofErr w:type="spellStart"/>
      <w:r w:rsidRPr="001B246D">
        <w:rPr>
          <w:sz w:val="16"/>
          <w:szCs w:val="16"/>
          <w:lang w:val="en-US"/>
        </w:rPr>
        <w:t>L’Agence</w:t>
      </w:r>
      <w:proofErr w:type="spellEnd"/>
      <w:r w:rsidRPr="001B246D">
        <w:rPr>
          <w:sz w:val="16"/>
          <w:szCs w:val="16"/>
          <w:lang w:val="en-US"/>
        </w:rPr>
        <w:t xml:space="preserve"> des medicaments du Canada.</w:t>
      </w:r>
      <w:r w:rsidRPr="001B246D">
        <w:rPr>
          <w:lang w:val="en-US"/>
        </w:rPr>
        <w:br w:type="page"/>
      </w:r>
    </w:p>
    <w:p w14:paraId="7930FF81" w14:textId="77777777" w:rsidR="001B246D" w:rsidRPr="001B246D" w:rsidRDefault="001B246D" w:rsidP="001B246D">
      <w:pPr>
        <w:pStyle w:val="Heading1"/>
        <w:spacing w:before="0"/>
        <w:rPr>
          <w:lang w:val="en-US"/>
        </w:rPr>
        <w:sectPr w:rsidR="001B246D" w:rsidRPr="001B246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722505" w14:textId="7D5760BF" w:rsidR="001B246D" w:rsidRPr="001B246D" w:rsidRDefault="001B246D" w:rsidP="001B246D">
      <w:pPr>
        <w:pStyle w:val="Heading1"/>
        <w:spacing w:before="0"/>
        <w:rPr>
          <w:lang w:val="en-US"/>
        </w:rPr>
      </w:pPr>
      <w:r w:rsidRPr="001B246D">
        <w:rPr>
          <w:lang w:val="en-US"/>
        </w:rPr>
        <w:lastRenderedPageBreak/>
        <w:t>Appendix 3</w:t>
      </w:r>
    </w:p>
    <w:p w14:paraId="1C6CAEA9" w14:textId="64E2C124" w:rsidR="001B246D" w:rsidRPr="001B246D" w:rsidRDefault="001B246D" w:rsidP="001B246D">
      <w:pPr>
        <w:spacing w:after="0" w:line="240" w:lineRule="auto"/>
        <w:rPr>
          <w:b/>
          <w:bCs/>
          <w:u w:val="single"/>
          <w:lang w:val="en-US" w:eastAsia="en-US"/>
        </w:rPr>
      </w:pPr>
      <w:r w:rsidRPr="001B246D">
        <w:rPr>
          <w:b/>
          <w:bCs/>
          <w:u w:val="single"/>
          <w:lang w:val="en-US" w:eastAsia="en-US"/>
        </w:rPr>
        <w:t>CDA-AMC Reimbursement Recommendations – Comparator Not Most Commonly Used in Clinical Practice (N = 25)</w:t>
      </w:r>
    </w:p>
    <w:p w14:paraId="4793099D" w14:textId="77777777" w:rsidR="001B246D" w:rsidRPr="001B246D" w:rsidRDefault="001B246D" w:rsidP="001B246D">
      <w:pPr>
        <w:spacing w:after="0" w:line="240" w:lineRule="auto"/>
        <w:rPr>
          <w:b/>
          <w:bCs/>
          <w:u w:val="single"/>
          <w:lang w:val="en-US" w:eastAsia="en-US"/>
        </w:rPr>
      </w:pPr>
    </w:p>
    <w:tbl>
      <w:tblPr>
        <w:tblStyle w:val="ActikerallTable"/>
        <w:tblW w:w="12475" w:type="dxa"/>
        <w:tblLook w:val="04A0" w:firstRow="1" w:lastRow="0" w:firstColumn="1" w:lastColumn="0" w:noHBand="0" w:noVBand="1"/>
      </w:tblPr>
      <w:tblGrid>
        <w:gridCol w:w="1103"/>
        <w:gridCol w:w="1452"/>
        <w:gridCol w:w="2407"/>
        <w:gridCol w:w="1176"/>
        <w:gridCol w:w="1800"/>
        <w:gridCol w:w="2694"/>
        <w:gridCol w:w="1843"/>
      </w:tblGrid>
      <w:tr w:rsidR="001B246D" w:rsidRPr="001B246D" w14:paraId="1B3C5A6D" w14:textId="77777777" w:rsidTr="00A64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3" w:type="dxa"/>
          </w:tcPr>
          <w:p w14:paraId="10753EAC" w14:textId="77777777" w:rsidR="001B246D" w:rsidRPr="001B246D" w:rsidRDefault="001B246D" w:rsidP="00A640A9">
            <w:pPr>
              <w:rPr>
                <w:sz w:val="18"/>
                <w:szCs w:val="22"/>
                <w:lang w:val="en-US"/>
              </w:rPr>
            </w:pPr>
            <w:r w:rsidRPr="001B246D">
              <w:rPr>
                <w:sz w:val="18"/>
                <w:szCs w:val="22"/>
                <w:lang w:val="en-US"/>
              </w:rPr>
              <w:t>CDA-AMC Project Number</w:t>
            </w:r>
          </w:p>
        </w:tc>
        <w:tc>
          <w:tcPr>
            <w:tcW w:w="1452" w:type="dxa"/>
          </w:tcPr>
          <w:p w14:paraId="7CF20594" w14:textId="77777777" w:rsidR="001B246D" w:rsidRPr="001B246D" w:rsidRDefault="001B246D" w:rsidP="00A640A9">
            <w:pPr>
              <w:rPr>
                <w:sz w:val="18"/>
                <w:szCs w:val="22"/>
                <w:lang w:val="en-US"/>
              </w:rPr>
            </w:pPr>
            <w:r w:rsidRPr="001B246D">
              <w:rPr>
                <w:sz w:val="18"/>
                <w:szCs w:val="22"/>
                <w:lang w:val="en-US"/>
              </w:rPr>
              <w:t>Drug Brand (Generic) Name</w:t>
            </w:r>
          </w:p>
        </w:tc>
        <w:tc>
          <w:tcPr>
            <w:tcW w:w="2407" w:type="dxa"/>
          </w:tcPr>
          <w:p w14:paraId="6BCCE856" w14:textId="77777777" w:rsidR="001B246D" w:rsidRPr="001B246D" w:rsidRDefault="001B246D" w:rsidP="00A640A9">
            <w:pPr>
              <w:rPr>
                <w:sz w:val="18"/>
                <w:szCs w:val="22"/>
                <w:lang w:val="en-US"/>
              </w:rPr>
            </w:pPr>
            <w:r w:rsidRPr="001B246D">
              <w:rPr>
                <w:sz w:val="18"/>
                <w:szCs w:val="22"/>
                <w:lang w:val="en-US"/>
              </w:rPr>
              <w:t>Target Population for Recommendation</w:t>
            </w:r>
          </w:p>
        </w:tc>
        <w:tc>
          <w:tcPr>
            <w:tcW w:w="1176" w:type="dxa"/>
          </w:tcPr>
          <w:p w14:paraId="2EFA28E6" w14:textId="77777777" w:rsidR="001B246D" w:rsidRPr="001B246D" w:rsidRDefault="001B246D" w:rsidP="00A640A9">
            <w:pPr>
              <w:rPr>
                <w:sz w:val="18"/>
                <w:lang w:val="en-US"/>
              </w:rPr>
            </w:pPr>
            <w:r w:rsidRPr="001B246D">
              <w:rPr>
                <w:sz w:val="18"/>
                <w:lang w:val="en-US"/>
              </w:rPr>
              <w:t>Total Costs; QALYs gained</w:t>
            </w:r>
          </w:p>
        </w:tc>
        <w:tc>
          <w:tcPr>
            <w:tcW w:w="1800" w:type="dxa"/>
          </w:tcPr>
          <w:p w14:paraId="4DFFCA8F" w14:textId="77777777" w:rsidR="001B246D" w:rsidRPr="001B246D" w:rsidRDefault="001B246D" w:rsidP="00A640A9">
            <w:pPr>
              <w:rPr>
                <w:sz w:val="18"/>
                <w:szCs w:val="22"/>
                <w:lang w:val="en-US"/>
              </w:rPr>
            </w:pPr>
            <w:r w:rsidRPr="001B246D">
              <w:rPr>
                <w:sz w:val="18"/>
                <w:szCs w:val="22"/>
                <w:lang w:val="en-US"/>
              </w:rPr>
              <w:t>ICER vs. CDA-AMC Comparator</w:t>
            </w:r>
          </w:p>
        </w:tc>
        <w:tc>
          <w:tcPr>
            <w:tcW w:w="2694" w:type="dxa"/>
          </w:tcPr>
          <w:p w14:paraId="690AA2F8" w14:textId="77777777" w:rsidR="001B246D" w:rsidRPr="001B246D" w:rsidRDefault="001B246D" w:rsidP="00A640A9">
            <w:pPr>
              <w:rPr>
                <w:sz w:val="18"/>
                <w:lang w:val="en-US"/>
              </w:rPr>
            </w:pPr>
            <w:proofErr w:type="gramStart"/>
            <w:r w:rsidRPr="001B246D">
              <w:rPr>
                <w:sz w:val="18"/>
                <w:lang w:val="en-US"/>
              </w:rPr>
              <w:t>Most Commonly Used</w:t>
            </w:r>
            <w:proofErr w:type="gramEnd"/>
            <w:r w:rsidRPr="001B246D">
              <w:rPr>
                <w:sz w:val="18"/>
                <w:lang w:val="en-US"/>
              </w:rPr>
              <w:t xml:space="preserve"> Comparator (market share [%]; total costs; QALYs gained)</w:t>
            </w:r>
          </w:p>
        </w:tc>
        <w:tc>
          <w:tcPr>
            <w:tcW w:w="1843" w:type="dxa"/>
          </w:tcPr>
          <w:p w14:paraId="581AE7D2" w14:textId="77777777" w:rsidR="001B246D" w:rsidRPr="001B246D" w:rsidRDefault="001B246D" w:rsidP="00A640A9">
            <w:pPr>
              <w:rPr>
                <w:sz w:val="18"/>
                <w:lang w:val="en-US"/>
              </w:rPr>
            </w:pPr>
            <w:r w:rsidRPr="001B246D">
              <w:rPr>
                <w:sz w:val="18"/>
                <w:lang w:val="en-US"/>
              </w:rPr>
              <w:t xml:space="preserve">ICER vs. </w:t>
            </w:r>
            <w:proofErr w:type="gramStart"/>
            <w:r w:rsidRPr="001B246D">
              <w:rPr>
                <w:sz w:val="18"/>
                <w:lang w:val="en-US"/>
              </w:rPr>
              <w:t>Most Commonly Used</w:t>
            </w:r>
            <w:proofErr w:type="gramEnd"/>
            <w:r w:rsidRPr="001B246D">
              <w:rPr>
                <w:sz w:val="18"/>
                <w:lang w:val="en-US"/>
              </w:rPr>
              <w:t xml:space="preserve"> Comparator</w:t>
            </w:r>
          </w:p>
        </w:tc>
      </w:tr>
      <w:tr w:rsidR="001B246D" w:rsidRPr="001B246D" w14:paraId="51364CDC" w14:textId="77777777" w:rsidTr="00A640A9">
        <w:tc>
          <w:tcPr>
            <w:tcW w:w="4962" w:type="dxa"/>
            <w:gridSpan w:val="3"/>
            <w:shd w:val="clear" w:color="auto" w:fill="D9D9D9"/>
          </w:tcPr>
          <w:p w14:paraId="7565DA1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b/>
                <w:bCs/>
                <w:sz w:val="18"/>
                <w:szCs w:val="22"/>
                <w:lang w:val="en-US"/>
              </w:rPr>
              <w:t>Oncology Products</w:t>
            </w:r>
          </w:p>
        </w:tc>
        <w:tc>
          <w:tcPr>
            <w:tcW w:w="1176" w:type="dxa"/>
            <w:shd w:val="clear" w:color="auto" w:fill="D9D9D9"/>
          </w:tcPr>
          <w:p w14:paraId="5F6CA40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lang w:val="en-US"/>
              </w:rPr>
            </w:pPr>
          </w:p>
        </w:tc>
        <w:tc>
          <w:tcPr>
            <w:tcW w:w="1800" w:type="dxa"/>
            <w:shd w:val="clear" w:color="auto" w:fill="D9D9D9"/>
          </w:tcPr>
          <w:p w14:paraId="65DDB48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szCs w:val="22"/>
                <w:lang w:val="en-US"/>
              </w:rPr>
            </w:pPr>
          </w:p>
        </w:tc>
        <w:tc>
          <w:tcPr>
            <w:tcW w:w="2694" w:type="dxa"/>
            <w:shd w:val="clear" w:color="auto" w:fill="D9D9D9"/>
          </w:tcPr>
          <w:p w14:paraId="05636EE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lang w:val="en-US"/>
              </w:rPr>
            </w:pPr>
          </w:p>
        </w:tc>
        <w:tc>
          <w:tcPr>
            <w:tcW w:w="1843" w:type="dxa"/>
            <w:shd w:val="clear" w:color="auto" w:fill="D9D9D9"/>
          </w:tcPr>
          <w:p w14:paraId="52A2F8F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lang w:val="en-US"/>
              </w:rPr>
            </w:pPr>
          </w:p>
        </w:tc>
      </w:tr>
      <w:tr w:rsidR="001B246D" w:rsidRPr="001B246D" w14:paraId="62F791C1" w14:textId="77777777" w:rsidTr="00A640A9">
        <w:tc>
          <w:tcPr>
            <w:tcW w:w="1103" w:type="dxa"/>
          </w:tcPr>
          <w:p w14:paraId="2B2F7D0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PC0261-000</w:t>
            </w:r>
          </w:p>
        </w:tc>
        <w:tc>
          <w:tcPr>
            <w:tcW w:w="1452" w:type="dxa"/>
          </w:tcPr>
          <w:p w14:paraId="57DD092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Retevmo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selpercatinib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55B413AC" w14:textId="77777777" w:rsidR="001B246D" w:rsidRPr="001B246D" w:rsidRDefault="001B246D" w:rsidP="00A640A9">
            <w:pPr>
              <w:tabs>
                <w:tab w:val="left" w:pos="914"/>
              </w:tabs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RET fusion-positive non-small cell lung cancer – treatment-experienced</w:t>
            </w:r>
          </w:p>
        </w:tc>
        <w:tc>
          <w:tcPr>
            <w:tcW w:w="1176" w:type="dxa"/>
          </w:tcPr>
          <w:p w14:paraId="7863A1C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$430,215; 3.03</w:t>
            </w:r>
          </w:p>
        </w:tc>
        <w:tc>
          <w:tcPr>
            <w:tcW w:w="1800" w:type="dxa"/>
          </w:tcPr>
          <w:p w14:paraId="2141FF2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$500,589/QALY (vs. docetaxel)</w:t>
            </w:r>
          </w:p>
        </w:tc>
        <w:tc>
          <w:tcPr>
            <w:tcW w:w="2694" w:type="dxa"/>
          </w:tcPr>
          <w:p w14:paraId="7BE7178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Nivolumab (48%-80%, depending on PD-L1 status; $140,673; 2.35)</w:t>
            </w:r>
          </w:p>
        </w:tc>
        <w:tc>
          <w:tcPr>
            <w:tcW w:w="1843" w:type="dxa"/>
          </w:tcPr>
          <w:p w14:paraId="6B7E2FAB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$425,797/QALY</w:t>
            </w:r>
          </w:p>
        </w:tc>
      </w:tr>
      <w:tr w:rsidR="001B246D" w:rsidRPr="001B246D" w14:paraId="38791B1F" w14:textId="77777777" w:rsidTr="00A640A9">
        <w:tc>
          <w:tcPr>
            <w:tcW w:w="1103" w:type="dxa"/>
          </w:tcPr>
          <w:p w14:paraId="4E9F82D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PC0294-000</w:t>
            </w:r>
          </w:p>
        </w:tc>
        <w:tc>
          <w:tcPr>
            <w:tcW w:w="1452" w:type="dxa"/>
          </w:tcPr>
          <w:p w14:paraId="586B30E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Nubeqa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(darolutamide)</w:t>
            </w:r>
          </w:p>
        </w:tc>
        <w:tc>
          <w:tcPr>
            <w:tcW w:w="2407" w:type="dxa"/>
          </w:tcPr>
          <w:p w14:paraId="233FA34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Metastatic castration-sensitive prostate cancer</w:t>
            </w:r>
          </w:p>
        </w:tc>
        <w:tc>
          <w:tcPr>
            <w:tcW w:w="1176" w:type="dxa"/>
          </w:tcPr>
          <w:p w14:paraId="5B67855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$220,379; 4.95</w:t>
            </w:r>
          </w:p>
        </w:tc>
        <w:tc>
          <w:tcPr>
            <w:tcW w:w="1800" w:type="dxa"/>
          </w:tcPr>
          <w:p w14:paraId="2D73AE2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$156,172/QALY (vs. abiraterone acetate + ADT)</w:t>
            </w:r>
          </w:p>
        </w:tc>
        <w:tc>
          <w:tcPr>
            <w:tcW w:w="2694" w:type="dxa"/>
          </w:tcPr>
          <w:p w14:paraId="49EBF90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Apalutamide plus ADT (38%; $172,662; 4.19)</w:t>
            </w:r>
          </w:p>
        </w:tc>
        <w:tc>
          <w:tcPr>
            <w:tcW w:w="1843" w:type="dxa"/>
          </w:tcPr>
          <w:p w14:paraId="7CBEA2D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$62,786/QALY</w:t>
            </w:r>
          </w:p>
        </w:tc>
      </w:tr>
      <w:tr w:rsidR="001B246D" w:rsidRPr="001B246D" w14:paraId="72357070" w14:textId="77777777" w:rsidTr="00A640A9">
        <w:tc>
          <w:tcPr>
            <w:tcW w:w="1103" w:type="dxa"/>
          </w:tcPr>
          <w:p w14:paraId="19123D0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PC0289-000</w:t>
            </w:r>
          </w:p>
        </w:tc>
        <w:tc>
          <w:tcPr>
            <w:tcW w:w="1452" w:type="dxa"/>
          </w:tcPr>
          <w:p w14:paraId="6BBBAA9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Rybrevant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amivantamab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198CC23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Non-small cell lung cancer</w:t>
            </w:r>
          </w:p>
        </w:tc>
        <w:tc>
          <w:tcPr>
            <w:tcW w:w="1176" w:type="dxa"/>
          </w:tcPr>
          <w:p w14:paraId="4803A3F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$233,131; 1.73 </w:t>
            </w:r>
          </w:p>
        </w:tc>
        <w:tc>
          <w:tcPr>
            <w:tcW w:w="1800" w:type="dxa"/>
          </w:tcPr>
          <w:p w14:paraId="4EB597A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$253,131/QALY (vs. non-platinum-based chemotherapy)</w:t>
            </w:r>
          </w:p>
        </w:tc>
        <w:tc>
          <w:tcPr>
            <w:tcW w:w="2694" w:type="dxa"/>
          </w:tcPr>
          <w:p w14:paraId="27882E4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Epidermal growth factor receptor tyrosine kinase inhibitors (61%; $83,782; 0.85)</w:t>
            </w:r>
          </w:p>
        </w:tc>
        <w:tc>
          <w:tcPr>
            <w:tcW w:w="1843" w:type="dxa"/>
          </w:tcPr>
          <w:p w14:paraId="2E64F5C6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$169,715/QALY</w:t>
            </w:r>
          </w:p>
        </w:tc>
      </w:tr>
      <w:tr w:rsidR="001B246D" w:rsidRPr="001B246D" w14:paraId="44C43E91" w14:textId="77777777" w:rsidTr="00A640A9">
        <w:tc>
          <w:tcPr>
            <w:tcW w:w="1103" w:type="dxa"/>
          </w:tcPr>
          <w:p w14:paraId="07276BC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PC0249-000</w:t>
            </w:r>
          </w:p>
        </w:tc>
        <w:tc>
          <w:tcPr>
            <w:tcW w:w="1452" w:type="dxa"/>
          </w:tcPr>
          <w:p w14:paraId="0E5E8B2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Lorbrena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lorlatinib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5C0C690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ALK-positive locally advanced or metastatic non-small cell lung</w:t>
            </w:r>
          </w:p>
        </w:tc>
        <w:tc>
          <w:tcPr>
            <w:tcW w:w="1176" w:type="dxa"/>
          </w:tcPr>
          <w:p w14:paraId="6325E49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$581,212; 6.13</w:t>
            </w:r>
          </w:p>
        </w:tc>
        <w:tc>
          <w:tcPr>
            <w:tcW w:w="1800" w:type="dxa"/>
          </w:tcPr>
          <w:p w14:paraId="3FBE834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$147,368/QALY (vs.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brigatinib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694" w:type="dxa"/>
          </w:tcPr>
          <w:p w14:paraId="0ABE937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lang w:val="en-US"/>
              </w:rPr>
              <w:t>Alectinib</w:t>
            </w:r>
            <w:proofErr w:type="spellEnd"/>
            <w:r w:rsidRPr="001B246D">
              <w:rPr>
                <w:rFonts w:ascii="Calibri" w:hAnsi="Calibri"/>
                <w:sz w:val="18"/>
                <w:lang w:val="en-US"/>
              </w:rPr>
              <w:t xml:space="preserve"> (100%; $421,908; 5.04)</w:t>
            </w:r>
          </w:p>
        </w:tc>
        <w:tc>
          <w:tcPr>
            <w:tcW w:w="1843" w:type="dxa"/>
          </w:tcPr>
          <w:p w14:paraId="4C2BBB7B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$146,150</w:t>
            </w: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/QALY</w:t>
            </w:r>
          </w:p>
        </w:tc>
      </w:tr>
      <w:tr w:rsidR="001B246D" w:rsidRPr="001B246D" w14:paraId="36000091" w14:textId="77777777" w:rsidTr="00A640A9">
        <w:tc>
          <w:tcPr>
            <w:tcW w:w="1103" w:type="dxa"/>
            <w:vMerge w:val="restart"/>
          </w:tcPr>
          <w:p w14:paraId="37A1153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PG0304-000</w:t>
            </w:r>
          </w:p>
        </w:tc>
        <w:tc>
          <w:tcPr>
            <w:tcW w:w="1452" w:type="dxa"/>
            <w:vMerge w:val="restart"/>
          </w:tcPr>
          <w:p w14:paraId="39B6F4C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Tecartus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brexucabtagene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autoleucel)</w:t>
            </w:r>
          </w:p>
        </w:tc>
        <w:tc>
          <w:tcPr>
            <w:tcW w:w="2407" w:type="dxa"/>
            <w:vMerge w:val="restart"/>
          </w:tcPr>
          <w:p w14:paraId="3ADA744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Acute lymphoblastic leukemia</w:t>
            </w:r>
          </w:p>
        </w:tc>
        <w:tc>
          <w:tcPr>
            <w:tcW w:w="1176" w:type="dxa"/>
            <w:vMerge w:val="restart"/>
          </w:tcPr>
          <w:p w14:paraId="69ABA1C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$593,180; 3.77</w:t>
            </w:r>
          </w:p>
        </w:tc>
        <w:tc>
          <w:tcPr>
            <w:tcW w:w="1800" w:type="dxa"/>
            <w:vMerge w:val="restart"/>
          </w:tcPr>
          <w:p w14:paraId="786A554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$164,545/QALY (vs. salvage chemotherapy)</w:t>
            </w:r>
          </w:p>
        </w:tc>
        <w:tc>
          <w:tcPr>
            <w:tcW w:w="2694" w:type="dxa"/>
          </w:tcPr>
          <w:p w14:paraId="2255E2D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Blinatumomab ± tyrosine kinase inhibitor (40%; $301,451; 1.83)</w:t>
            </w:r>
          </w:p>
        </w:tc>
        <w:tc>
          <w:tcPr>
            <w:tcW w:w="1843" w:type="dxa"/>
          </w:tcPr>
          <w:p w14:paraId="53EC943E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$150,376/QALY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</w:p>
        </w:tc>
      </w:tr>
      <w:tr w:rsidR="001B246D" w:rsidRPr="001B246D" w14:paraId="7BC2FAE8" w14:textId="77777777" w:rsidTr="00A640A9">
        <w:tc>
          <w:tcPr>
            <w:tcW w:w="1103" w:type="dxa"/>
            <w:vMerge/>
          </w:tcPr>
          <w:p w14:paraId="39227FA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452" w:type="dxa"/>
            <w:vMerge/>
          </w:tcPr>
          <w:p w14:paraId="7B89419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2407" w:type="dxa"/>
            <w:vMerge/>
          </w:tcPr>
          <w:p w14:paraId="5BA59EE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176" w:type="dxa"/>
            <w:vMerge/>
          </w:tcPr>
          <w:p w14:paraId="7BCE29E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800" w:type="dxa"/>
            <w:vMerge/>
          </w:tcPr>
          <w:p w14:paraId="2F29A9C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2694" w:type="dxa"/>
          </w:tcPr>
          <w:p w14:paraId="6C62254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lang w:val="en-US"/>
              </w:rPr>
              <w:t>Inotuzumab</w:t>
            </w:r>
            <w:proofErr w:type="spellEnd"/>
            <w:r w:rsidRPr="001B246D">
              <w:rPr>
                <w:rFonts w:ascii="Calibri" w:hAnsi="Calibri"/>
                <w:sz w:val="18"/>
                <w:lang w:val="en-US"/>
              </w:rPr>
              <w:t xml:space="preserve"> ± tyrosine kinase inhibitor (40%; $316,929; 1.92)</w:t>
            </w:r>
          </w:p>
        </w:tc>
        <w:tc>
          <w:tcPr>
            <w:tcW w:w="1843" w:type="dxa"/>
          </w:tcPr>
          <w:p w14:paraId="0C3C2E25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$149,325/QALY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</w:p>
        </w:tc>
      </w:tr>
      <w:tr w:rsidR="001B246D" w:rsidRPr="001B246D" w14:paraId="6313AAB5" w14:textId="77777777" w:rsidTr="00A640A9">
        <w:tc>
          <w:tcPr>
            <w:tcW w:w="1103" w:type="dxa"/>
          </w:tcPr>
          <w:p w14:paraId="0220A2B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PC0303-000</w:t>
            </w:r>
          </w:p>
        </w:tc>
        <w:tc>
          <w:tcPr>
            <w:tcW w:w="1452" w:type="dxa"/>
          </w:tcPr>
          <w:p w14:paraId="390E6FC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Opdivo (nivolumab)</w:t>
            </w:r>
          </w:p>
        </w:tc>
        <w:tc>
          <w:tcPr>
            <w:tcW w:w="2407" w:type="dxa"/>
          </w:tcPr>
          <w:p w14:paraId="79E36C2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Resectable non-small cell lung cancer</w:t>
            </w:r>
          </w:p>
        </w:tc>
        <w:tc>
          <w:tcPr>
            <w:tcW w:w="1176" w:type="dxa"/>
          </w:tcPr>
          <w:p w14:paraId="24B907D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$200,273; 6.91</w:t>
            </w:r>
          </w:p>
        </w:tc>
        <w:tc>
          <w:tcPr>
            <w:tcW w:w="1800" w:type="dxa"/>
          </w:tcPr>
          <w:p w14:paraId="696F47C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$32,846/QALY (vs. surgery only)</w:t>
            </w:r>
          </w:p>
        </w:tc>
        <w:tc>
          <w:tcPr>
            <w:tcW w:w="2694" w:type="dxa"/>
          </w:tcPr>
          <w:p w14:paraId="6D219AB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Surgery plus adjuvant platinum-doublet chemotherapy (100%; $186,992; 6.32)</w:t>
            </w:r>
          </w:p>
        </w:tc>
        <w:tc>
          <w:tcPr>
            <w:tcW w:w="1843" w:type="dxa"/>
          </w:tcPr>
          <w:p w14:paraId="3D398798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$22,510/QALY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</w:p>
        </w:tc>
      </w:tr>
      <w:tr w:rsidR="001B246D" w:rsidRPr="001B246D" w14:paraId="4591C9B3" w14:textId="77777777" w:rsidTr="00A640A9">
        <w:tc>
          <w:tcPr>
            <w:tcW w:w="1103" w:type="dxa"/>
          </w:tcPr>
          <w:p w14:paraId="0488CF7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PC0312-000</w:t>
            </w:r>
          </w:p>
        </w:tc>
        <w:tc>
          <w:tcPr>
            <w:tcW w:w="1452" w:type="dxa"/>
          </w:tcPr>
          <w:p w14:paraId="0F8B459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Cabometyx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(cabozantinib)</w:t>
            </w:r>
          </w:p>
        </w:tc>
        <w:tc>
          <w:tcPr>
            <w:tcW w:w="2407" w:type="dxa"/>
          </w:tcPr>
          <w:p w14:paraId="6CFAAC3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Advanced or metastatic renal cell carcinoma</w:t>
            </w:r>
          </w:p>
        </w:tc>
        <w:tc>
          <w:tcPr>
            <w:tcW w:w="1176" w:type="dxa"/>
          </w:tcPr>
          <w:p w14:paraId="67AEAB4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$455,815; 3.69</w:t>
            </w:r>
          </w:p>
        </w:tc>
        <w:tc>
          <w:tcPr>
            <w:tcW w:w="1800" w:type="dxa"/>
          </w:tcPr>
          <w:p w14:paraId="32EE8EA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Dominated (by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lenvatinib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+ pembrolizumab)</w:t>
            </w:r>
          </w:p>
        </w:tc>
        <w:tc>
          <w:tcPr>
            <w:tcW w:w="2694" w:type="dxa"/>
          </w:tcPr>
          <w:p w14:paraId="04E362C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Pembrolizumab + axitinib (30%; $373,111; 3.69)</w:t>
            </w:r>
          </w:p>
        </w:tc>
        <w:tc>
          <w:tcPr>
            <w:tcW w:w="1843" w:type="dxa"/>
          </w:tcPr>
          <w:p w14:paraId="22522CE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Incremental cost of $82,704 for same QALYs gained</w:t>
            </w:r>
          </w:p>
        </w:tc>
      </w:tr>
      <w:tr w:rsidR="001B246D" w:rsidRPr="001B246D" w14:paraId="56D7E75A" w14:textId="77777777" w:rsidTr="00A640A9">
        <w:tc>
          <w:tcPr>
            <w:tcW w:w="4962" w:type="dxa"/>
            <w:gridSpan w:val="3"/>
            <w:shd w:val="clear" w:color="auto" w:fill="D9D9D9"/>
          </w:tcPr>
          <w:p w14:paraId="04F3B6D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b/>
                <w:bCs/>
                <w:sz w:val="18"/>
                <w:szCs w:val="22"/>
                <w:lang w:val="en-US"/>
              </w:rPr>
              <w:t>Non-oncology Products</w:t>
            </w:r>
          </w:p>
        </w:tc>
        <w:tc>
          <w:tcPr>
            <w:tcW w:w="1176" w:type="dxa"/>
            <w:shd w:val="clear" w:color="auto" w:fill="D9D9D9"/>
          </w:tcPr>
          <w:p w14:paraId="14B91AC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lang w:val="en-US"/>
              </w:rPr>
            </w:pPr>
          </w:p>
        </w:tc>
        <w:tc>
          <w:tcPr>
            <w:tcW w:w="1800" w:type="dxa"/>
            <w:shd w:val="clear" w:color="auto" w:fill="D9D9D9"/>
          </w:tcPr>
          <w:p w14:paraId="1C4566F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szCs w:val="22"/>
                <w:lang w:val="en-US"/>
              </w:rPr>
            </w:pPr>
          </w:p>
        </w:tc>
        <w:tc>
          <w:tcPr>
            <w:tcW w:w="2694" w:type="dxa"/>
            <w:shd w:val="clear" w:color="auto" w:fill="D9D9D9"/>
          </w:tcPr>
          <w:p w14:paraId="2D8BD25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lang w:val="en-US"/>
              </w:rPr>
            </w:pPr>
          </w:p>
        </w:tc>
        <w:tc>
          <w:tcPr>
            <w:tcW w:w="1843" w:type="dxa"/>
            <w:shd w:val="clear" w:color="auto" w:fill="D9D9D9"/>
          </w:tcPr>
          <w:p w14:paraId="68105D4B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b/>
                <w:bCs/>
                <w:sz w:val="18"/>
                <w:lang w:val="en-US"/>
              </w:rPr>
            </w:pPr>
          </w:p>
        </w:tc>
      </w:tr>
      <w:tr w:rsidR="001B246D" w:rsidRPr="001B246D" w14:paraId="012CCCF3" w14:textId="77777777" w:rsidTr="00A640A9">
        <w:tc>
          <w:tcPr>
            <w:tcW w:w="1103" w:type="dxa"/>
          </w:tcPr>
          <w:p w14:paraId="33D3511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SR0771-000</w:t>
            </w:r>
          </w:p>
        </w:tc>
        <w:tc>
          <w:tcPr>
            <w:tcW w:w="1452" w:type="dxa"/>
          </w:tcPr>
          <w:p w14:paraId="4CDBDB8B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Zoryve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(roflumilast)</w:t>
            </w:r>
          </w:p>
        </w:tc>
        <w:tc>
          <w:tcPr>
            <w:tcW w:w="2407" w:type="dxa"/>
          </w:tcPr>
          <w:p w14:paraId="29822FB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Plaque psoriasis</w:t>
            </w:r>
          </w:p>
        </w:tc>
        <w:tc>
          <w:tcPr>
            <w:tcW w:w="1176" w:type="dxa"/>
          </w:tcPr>
          <w:p w14:paraId="026CB57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$19,134; 4.0313</w:t>
            </w:r>
          </w:p>
        </w:tc>
        <w:tc>
          <w:tcPr>
            <w:tcW w:w="1800" w:type="dxa"/>
          </w:tcPr>
          <w:p w14:paraId="1F79EB4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$1,085,171/QALY (vs. corticosteroids)</w:t>
            </w:r>
          </w:p>
        </w:tc>
        <w:tc>
          <w:tcPr>
            <w:tcW w:w="2694" w:type="dxa"/>
          </w:tcPr>
          <w:p w14:paraId="2344996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Fixed combination of corticosteroid-vitamin D analog (41%; $18,768; 4.0306)</w:t>
            </w:r>
          </w:p>
        </w:tc>
        <w:tc>
          <w:tcPr>
            <w:tcW w:w="1843" w:type="dxa"/>
          </w:tcPr>
          <w:p w14:paraId="19BCF5C2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$522,857/QALY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</w:p>
        </w:tc>
      </w:tr>
      <w:tr w:rsidR="001B246D" w:rsidRPr="001B246D" w14:paraId="338F1D87" w14:textId="77777777" w:rsidTr="00A640A9">
        <w:tc>
          <w:tcPr>
            <w:tcW w:w="1103" w:type="dxa"/>
            <w:vMerge w:val="restart"/>
          </w:tcPr>
          <w:p w14:paraId="2EBF45F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SR0686-000</w:t>
            </w:r>
          </w:p>
        </w:tc>
        <w:tc>
          <w:tcPr>
            <w:tcW w:w="1452" w:type="dxa"/>
            <w:vMerge w:val="restart"/>
          </w:tcPr>
          <w:p w14:paraId="7AEBFDB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Cibinqo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abrocitinib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  <w:vMerge w:val="restart"/>
          </w:tcPr>
          <w:p w14:paraId="4A70DA1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Atopic dermatitis, moderate to severe</w:t>
            </w:r>
          </w:p>
        </w:tc>
        <w:tc>
          <w:tcPr>
            <w:tcW w:w="1176" w:type="dxa"/>
          </w:tcPr>
          <w:p w14:paraId="666B719B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100 mg: $248,791; 28</w:t>
            </w:r>
          </w:p>
        </w:tc>
        <w:tc>
          <w:tcPr>
            <w:tcW w:w="1800" w:type="dxa"/>
          </w:tcPr>
          <w:p w14:paraId="42F22B90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$156,735/QALY (vs. standard of care)</w:t>
            </w:r>
          </w:p>
        </w:tc>
        <w:tc>
          <w:tcPr>
            <w:tcW w:w="2694" w:type="dxa"/>
          </w:tcPr>
          <w:p w14:paraId="5F7E0E80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Dupilumab + standard of care (16%; $309,525; 28.11)</w:t>
            </w:r>
          </w:p>
        </w:tc>
        <w:tc>
          <w:tcPr>
            <w:tcW w:w="1843" w:type="dxa"/>
          </w:tcPr>
          <w:p w14:paraId="01FF208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$552,127/QALY (for dupilumab over </w:t>
            </w:r>
            <w:proofErr w:type="spellStart"/>
            <w:r w:rsidRPr="001B246D">
              <w:rPr>
                <w:rFonts w:ascii="Calibri" w:hAnsi="Calibri"/>
                <w:sz w:val="18"/>
                <w:lang w:val="en-US"/>
              </w:rPr>
              <w:t>abrocitinib</w:t>
            </w:r>
            <w:proofErr w:type="spellEnd"/>
            <w:r w:rsidRPr="001B246D">
              <w:rPr>
                <w:rFonts w:ascii="Calibri" w:hAnsi="Calibri"/>
                <w:sz w:val="18"/>
                <w:lang w:val="en-US"/>
              </w:rPr>
              <w:t xml:space="preserve">) </w:t>
            </w:r>
          </w:p>
        </w:tc>
      </w:tr>
      <w:tr w:rsidR="001B246D" w:rsidRPr="001B246D" w14:paraId="3979665D" w14:textId="77777777" w:rsidTr="00A640A9">
        <w:tc>
          <w:tcPr>
            <w:tcW w:w="1103" w:type="dxa"/>
            <w:vMerge/>
          </w:tcPr>
          <w:p w14:paraId="146C990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452" w:type="dxa"/>
            <w:vMerge/>
          </w:tcPr>
          <w:p w14:paraId="2536F82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2407" w:type="dxa"/>
            <w:vMerge/>
          </w:tcPr>
          <w:p w14:paraId="48DBF2B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176" w:type="dxa"/>
          </w:tcPr>
          <w:p w14:paraId="38FB804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200 mg: $286,525; 28.17</w:t>
            </w:r>
          </w:p>
        </w:tc>
        <w:tc>
          <w:tcPr>
            <w:tcW w:w="1800" w:type="dxa"/>
          </w:tcPr>
          <w:p w14:paraId="2374A17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$231,013/QALY (vs.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abrocitinib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100 mg + standard of care)</w:t>
            </w:r>
          </w:p>
        </w:tc>
        <w:tc>
          <w:tcPr>
            <w:tcW w:w="2694" w:type="dxa"/>
          </w:tcPr>
          <w:p w14:paraId="4C63609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Dupilumab </w:t>
            </w: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+ standard of care (16%; $309,525; 28.11)</w:t>
            </w:r>
          </w:p>
        </w:tc>
        <w:tc>
          <w:tcPr>
            <w:tcW w:w="1843" w:type="dxa"/>
          </w:tcPr>
          <w:p w14:paraId="1B7D858E" w14:textId="77777777" w:rsidR="001B246D" w:rsidRPr="001B246D" w:rsidRDefault="001B246D" w:rsidP="00A640A9">
            <w:pPr>
              <w:spacing w:after="0" w:line="240" w:lineRule="auto"/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-$383,333/QALY (dominant)</w:t>
            </w:r>
          </w:p>
        </w:tc>
      </w:tr>
      <w:tr w:rsidR="001B246D" w:rsidRPr="001B246D" w14:paraId="071DB8C4" w14:textId="77777777" w:rsidTr="00A640A9">
        <w:tc>
          <w:tcPr>
            <w:tcW w:w="1103" w:type="dxa"/>
          </w:tcPr>
          <w:p w14:paraId="0158C61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SR0770-000</w:t>
            </w:r>
          </w:p>
        </w:tc>
        <w:tc>
          <w:tcPr>
            <w:tcW w:w="1452" w:type="dxa"/>
          </w:tcPr>
          <w:p w14:paraId="45B4450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Xcopri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cenobamate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2FCA2F1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Epilepsy, partial-onset seizures</w:t>
            </w:r>
          </w:p>
        </w:tc>
        <w:tc>
          <w:tcPr>
            <w:tcW w:w="1176" w:type="dxa"/>
          </w:tcPr>
          <w:p w14:paraId="7A7D2DB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$469,983; 13.184</w:t>
            </w:r>
          </w:p>
        </w:tc>
        <w:tc>
          <w:tcPr>
            <w:tcW w:w="1800" w:type="dxa"/>
          </w:tcPr>
          <w:p w14:paraId="2F50A83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Dominant (vs. 3</w:t>
            </w:r>
            <w:r w:rsidRPr="001B246D">
              <w:rPr>
                <w:rFonts w:ascii="Calibri" w:hAnsi="Calibri"/>
                <w:sz w:val="18"/>
                <w:szCs w:val="22"/>
                <w:vertAlign w:val="superscript"/>
                <w:lang w:val="en-US"/>
              </w:rPr>
              <w:t xml:space="preserve">rd </w:t>
            </w: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generation anti-seizure medications)</w:t>
            </w:r>
          </w:p>
        </w:tc>
        <w:tc>
          <w:tcPr>
            <w:tcW w:w="2694" w:type="dxa"/>
          </w:tcPr>
          <w:p w14:paraId="4451357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Lacosamide (78%; NR; NR)</w:t>
            </w:r>
          </w:p>
        </w:tc>
        <w:tc>
          <w:tcPr>
            <w:tcW w:w="1843" w:type="dxa"/>
          </w:tcPr>
          <w:p w14:paraId="7A7C217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Not assessable</w:t>
            </w:r>
          </w:p>
        </w:tc>
      </w:tr>
      <w:tr w:rsidR="001B246D" w:rsidRPr="001B246D" w14:paraId="28DECFAF" w14:textId="77777777" w:rsidTr="00A640A9">
        <w:tc>
          <w:tcPr>
            <w:tcW w:w="1103" w:type="dxa"/>
          </w:tcPr>
          <w:p w14:paraId="1A45F08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SR0756-000</w:t>
            </w:r>
          </w:p>
        </w:tc>
        <w:tc>
          <w:tcPr>
            <w:tcW w:w="1452" w:type="dxa"/>
          </w:tcPr>
          <w:p w14:paraId="08291CC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Sotyktu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deucravacitinib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2C4288F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Psoriasis, moderate to severe plaque</w:t>
            </w:r>
          </w:p>
        </w:tc>
        <w:tc>
          <w:tcPr>
            <w:tcW w:w="1176" w:type="dxa"/>
          </w:tcPr>
          <w:p w14:paraId="0F8D30D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$136,222;</w:t>
            </w:r>
            <w:r w:rsidRPr="001B246D">
              <w:rPr>
                <w:lang w:val="en-US"/>
              </w:rPr>
              <w:t xml:space="preserve"> </w:t>
            </w:r>
            <w:r w:rsidRPr="001B246D">
              <w:rPr>
                <w:rFonts w:ascii="Calibri" w:hAnsi="Calibri"/>
                <w:sz w:val="18"/>
                <w:lang w:val="en-US"/>
              </w:rPr>
              <w:t>6.933</w:t>
            </w:r>
          </w:p>
        </w:tc>
        <w:tc>
          <w:tcPr>
            <w:tcW w:w="1800" w:type="dxa"/>
          </w:tcPr>
          <w:p w14:paraId="3696878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Dominated (by adalimumab)</w:t>
            </w:r>
          </w:p>
        </w:tc>
        <w:tc>
          <w:tcPr>
            <w:tcW w:w="2694" w:type="dxa"/>
          </w:tcPr>
          <w:p w14:paraId="47DA62CB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Risankizumab (44%; $182,650; 7.056)</w:t>
            </w:r>
          </w:p>
        </w:tc>
        <w:tc>
          <w:tcPr>
            <w:tcW w:w="1843" w:type="dxa"/>
          </w:tcPr>
          <w:p w14:paraId="200CDF4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$377,463/QALY (for </w:t>
            </w:r>
            <w:proofErr w:type="spellStart"/>
            <w:r w:rsidRPr="001B246D">
              <w:rPr>
                <w:rFonts w:ascii="Calibri" w:hAnsi="Calibri"/>
                <w:sz w:val="18"/>
                <w:lang w:val="en-US"/>
              </w:rPr>
              <w:t>risankizumab</w:t>
            </w:r>
            <w:proofErr w:type="spellEnd"/>
            <w:r w:rsidRPr="001B246D">
              <w:rPr>
                <w:rFonts w:ascii="Calibri" w:hAnsi="Calibri"/>
                <w:sz w:val="18"/>
                <w:lang w:val="en-US"/>
              </w:rPr>
              <w:t xml:space="preserve"> over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deucravacitinib</w:t>
            </w:r>
            <w:proofErr w:type="spellEnd"/>
          </w:p>
        </w:tc>
      </w:tr>
      <w:tr w:rsidR="001B246D" w:rsidRPr="001B246D" w14:paraId="1BAB5F05" w14:textId="77777777" w:rsidTr="00A640A9">
        <w:tc>
          <w:tcPr>
            <w:tcW w:w="1103" w:type="dxa"/>
          </w:tcPr>
          <w:p w14:paraId="06D2301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SR0775-000</w:t>
            </w:r>
          </w:p>
        </w:tc>
        <w:tc>
          <w:tcPr>
            <w:tcW w:w="1452" w:type="dxa"/>
          </w:tcPr>
          <w:p w14:paraId="488B88B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(upadacitinib)</w:t>
            </w:r>
          </w:p>
        </w:tc>
        <w:tc>
          <w:tcPr>
            <w:tcW w:w="2407" w:type="dxa"/>
          </w:tcPr>
          <w:p w14:paraId="2C08D4A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Crohn’s disease – conventional care failure</w:t>
            </w:r>
          </w:p>
        </w:tc>
        <w:tc>
          <w:tcPr>
            <w:tcW w:w="1176" w:type="dxa"/>
          </w:tcPr>
          <w:p w14:paraId="69D40F3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$551,526; 21.87</w:t>
            </w:r>
          </w:p>
        </w:tc>
        <w:tc>
          <w:tcPr>
            <w:tcW w:w="1800" w:type="dxa"/>
          </w:tcPr>
          <w:p w14:paraId="0759BD4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$110,267/QALY (vs. conventional care)</w:t>
            </w:r>
          </w:p>
        </w:tc>
        <w:tc>
          <w:tcPr>
            <w:tcW w:w="2694" w:type="dxa"/>
          </w:tcPr>
          <w:p w14:paraId="18BF1B0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Infliximab biosimilar (53%; $789,833; 22.54)</w:t>
            </w:r>
          </w:p>
        </w:tc>
        <w:tc>
          <w:tcPr>
            <w:tcW w:w="1843" w:type="dxa"/>
          </w:tcPr>
          <w:p w14:paraId="767C5A9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$355,682/QALY (for infliximab biosimilar over upadacitinib)</w:t>
            </w:r>
          </w:p>
        </w:tc>
      </w:tr>
      <w:tr w:rsidR="001B246D" w:rsidRPr="001B246D" w14:paraId="2FC61E2F" w14:textId="77777777" w:rsidTr="00A640A9">
        <w:tc>
          <w:tcPr>
            <w:tcW w:w="1103" w:type="dxa"/>
          </w:tcPr>
          <w:p w14:paraId="1868FD7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SR0782-000</w:t>
            </w:r>
          </w:p>
        </w:tc>
        <w:tc>
          <w:tcPr>
            <w:tcW w:w="1452" w:type="dxa"/>
          </w:tcPr>
          <w:p w14:paraId="0ED1608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Vyvgart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(efgartigimod alfa)</w:t>
            </w:r>
          </w:p>
        </w:tc>
        <w:tc>
          <w:tcPr>
            <w:tcW w:w="2407" w:type="dxa"/>
          </w:tcPr>
          <w:p w14:paraId="1170024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Generalized myasthenia gravis</w:t>
            </w:r>
          </w:p>
        </w:tc>
        <w:tc>
          <w:tcPr>
            <w:tcW w:w="1176" w:type="dxa"/>
          </w:tcPr>
          <w:p w14:paraId="1113B68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$1,969,893;</w:t>
            </w:r>
          </w:p>
          <w:p w14:paraId="3C4E525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16.38</w:t>
            </w:r>
          </w:p>
        </w:tc>
        <w:tc>
          <w:tcPr>
            <w:tcW w:w="1800" w:type="dxa"/>
          </w:tcPr>
          <w:p w14:paraId="23BA237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$1,764,628/QALY (vs. rituximab plus conventional therapy) </w:t>
            </w:r>
          </w:p>
        </w:tc>
        <w:tc>
          <w:tcPr>
            <w:tcW w:w="2694" w:type="dxa"/>
          </w:tcPr>
          <w:p w14:paraId="36EF146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Blood products plus conventional therapy (75%; $2,210,045; 15.47)</w:t>
            </w:r>
          </w:p>
        </w:tc>
        <w:tc>
          <w:tcPr>
            <w:tcW w:w="1843" w:type="dxa"/>
          </w:tcPr>
          <w:p w14:paraId="0CEE5F2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-$263,903/QALY (dominant)</w:t>
            </w:r>
          </w:p>
        </w:tc>
      </w:tr>
      <w:tr w:rsidR="001B246D" w:rsidRPr="001B246D" w14:paraId="32C64587" w14:textId="77777777" w:rsidTr="00A640A9">
        <w:tc>
          <w:tcPr>
            <w:tcW w:w="1103" w:type="dxa"/>
          </w:tcPr>
          <w:p w14:paraId="5E80CCE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SR0747-000</w:t>
            </w:r>
          </w:p>
        </w:tc>
        <w:tc>
          <w:tcPr>
            <w:tcW w:w="1452" w:type="dxa"/>
          </w:tcPr>
          <w:p w14:paraId="0E42E13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Beovu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(brolucizumab)</w:t>
            </w:r>
          </w:p>
        </w:tc>
        <w:tc>
          <w:tcPr>
            <w:tcW w:w="2407" w:type="dxa"/>
          </w:tcPr>
          <w:p w14:paraId="36C5CBA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Diabetic macular edema</w:t>
            </w:r>
          </w:p>
        </w:tc>
        <w:tc>
          <w:tcPr>
            <w:tcW w:w="1176" w:type="dxa"/>
          </w:tcPr>
          <w:p w14:paraId="5D2277A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$43,570; 9.5724</w:t>
            </w:r>
          </w:p>
        </w:tc>
        <w:tc>
          <w:tcPr>
            <w:tcW w:w="1800" w:type="dxa"/>
          </w:tcPr>
          <w:p w14:paraId="0E54D4B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$61,621/QALY (vs. bevacizumab)</w:t>
            </w:r>
          </w:p>
        </w:tc>
        <w:tc>
          <w:tcPr>
            <w:tcW w:w="2694" w:type="dxa"/>
          </w:tcPr>
          <w:p w14:paraId="6770B61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Aflibercept (80%; $51,561; 9.5772)</w:t>
            </w:r>
          </w:p>
        </w:tc>
        <w:tc>
          <w:tcPr>
            <w:tcW w:w="1843" w:type="dxa"/>
          </w:tcPr>
          <w:p w14:paraId="6A073D44" w14:textId="77777777" w:rsidR="001B246D" w:rsidRPr="001B246D" w:rsidRDefault="001B246D" w:rsidP="00A640A9">
            <w:pPr>
              <w:spacing w:after="0" w:line="240" w:lineRule="auto"/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$1,664,792/QALY (for aflibercept over </w:t>
            </w: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brolucizumab</w:t>
            </w:r>
            <w:r w:rsidRPr="001B246D">
              <w:rPr>
                <w:rFonts w:ascii="Calibri" w:hAnsi="Calibri"/>
                <w:sz w:val="18"/>
                <w:lang w:val="en-US"/>
              </w:rPr>
              <w:t>)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</w:p>
        </w:tc>
      </w:tr>
      <w:tr w:rsidR="001B246D" w:rsidRPr="001B246D" w14:paraId="12DD79CE" w14:textId="77777777" w:rsidTr="00A640A9">
        <w:tc>
          <w:tcPr>
            <w:tcW w:w="1103" w:type="dxa"/>
          </w:tcPr>
          <w:p w14:paraId="7B660E20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SR0746-000</w:t>
            </w:r>
          </w:p>
        </w:tc>
        <w:tc>
          <w:tcPr>
            <w:tcW w:w="1452" w:type="dxa"/>
          </w:tcPr>
          <w:p w14:paraId="1538E9C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Benlysta (belimumab)</w:t>
            </w:r>
          </w:p>
        </w:tc>
        <w:tc>
          <w:tcPr>
            <w:tcW w:w="2407" w:type="dxa"/>
          </w:tcPr>
          <w:p w14:paraId="436D060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Lupus nephritis</w:t>
            </w:r>
          </w:p>
        </w:tc>
        <w:tc>
          <w:tcPr>
            <w:tcW w:w="1176" w:type="dxa"/>
          </w:tcPr>
          <w:p w14:paraId="488E189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$878,391;</w:t>
            </w:r>
          </w:p>
          <w:p w14:paraId="0E52E42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24.7</w:t>
            </w:r>
          </w:p>
        </w:tc>
        <w:tc>
          <w:tcPr>
            <w:tcW w:w="1800" w:type="dxa"/>
          </w:tcPr>
          <w:p w14:paraId="1D06761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Dominated (by belimumab plus mycophenolate mofetil)</w:t>
            </w:r>
          </w:p>
        </w:tc>
        <w:tc>
          <w:tcPr>
            <w:tcW w:w="2694" w:type="dxa"/>
          </w:tcPr>
          <w:p w14:paraId="1BED41B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Mycophenolate mofetil (90%; $670,851; 24.4)</w:t>
            </w:r>
          </w:p>
        </w:tc>
        <w:tc>
          <w:tcPr>
            <w:tcW w:w="1843" w:type="dxa"/>
          </w:tcPr>
          <w:p w14:paraId="77FF2939" w14:textId="77777777" w:rsidR="001B246D" w:rsidRPr="001B246D" w:rsidRDefault="001B246D" w:rsidP="00A640A9">
            <w:pPr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$691,800/QALY </w:t>
            </w:r>
          </w:p>
        </w:tc>
      </w:tr>
      <w:tr w:rsidR="001B246D" w:rsidRPr="001B246D" w14:paraId="1BB1E846" w14:textId="77777777" w:rsidTr="00A640A9">
        <w:tc>
          <w:tcPr>
            <w:tcW w:w="1103" w:type="dxa"/>
          </w:tcPr>
          <w:p w14:paraId="55967E5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SR0748-000</w:t>
            </w:r>
          </w:p>
        </w:tc>
        <w:tc>
          <w:tcPr>
            <w:tcW w:w="1452" w:type="dxa"/>
          </w:tcPr>
          <w:p w14:paraId="0978E94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Empaveli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pegcetacoplan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7E9937C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Paroxysmal nocturnal hemoglobinuria</w:t>
            </w:r>
          </w:p>
        </w:tc>
        <w:tc>
          <w:tcPr>
            <w:tcW w:w="1176" w:type="dxa"/>
          </w:tcPr>
          <w:p w14:paraId="56FEC7D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$14,356,979; 20.03</w:t>
            </w:r>
          </w:p>
        </w:tc>
        <w:tc>
          <w:tcPr>
            <w:tcW w:w="1800" w:type="dxa"/>
          </w:tcPr>
          <w:p w14:paraId="074502B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$62,144/QALY (vs.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ravulizumab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694" w:type="dxa"/>
          </w:tcPr>
          <w:p w14:paraId="7D869D4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Eculizumab (72%; $15,784,157; 17.12)</w:t>
            </w:r>
          </w:p>
        </w:tc>
        <w:tc>
          <w:tcPr>
            <w:tcW w:w="1843" w:type="dxa"/>
          </w:tcPr>
          <w:p w14:paraId="304D2C8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-$490,439</w:t>
            </w:r>
            <w:r w:rsidRPr="001B246D">
              <w:rPr>
                <w:rFonts w:ascii="Calibri" w:hAnsi="Calibri"/>
                <w:sz w:val="18"/>
                <w:lang w:val="en-US"/>
              </w:rPr>
              <w:t>/QALY (dominant)</w:t>
            </w:r>
          </w:p>
        </w:tc>
      </w:tr>
      <w:tr w:rsidR="001B246D" w:rsidRPr="001B246D" w14:paraId="3F298C22" w14:textId="77777777" w:rsidTr="00A640A9">
        <w:tc>
          <w:tcPr>
            <w:tcW w:w="1103" w:type="dxa"/>
            <w:vMerge w:val="restart"/>
          </w:tcPr>
          <w:p w14:paraId="132885D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SR0759-000</w:t>
            </w:r>
          </w:p>
        </w:tc>
        <w:tc>
          <w:tcPr>
            <w:tcW w:w="1452" w:type="dxa"/>
            <w:vMerge w:val="restart"/>
          </w:tcPr>
          <w:p w14:paraId="14A4779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(upadacitinib)</w:t>
            </w:r>
          </w:p>
        </w:tc>
        <w:tc>
          <w:tcPr>
            <w:tcW w:w="2407" w:type="dxa"/>
          </w:tcPr>
          <w:p w14:paraId="048C521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Ankylosing spondylitis –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bDMARD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-inadvisable</w:t>
            </w:r>
          </w:p>
        </w:tc>
        <w:tc>
          <w:tcPr>
            <w:tcW w:w="1176" w:type="dxa"/>
          </w:tcPr>
          <w:p w14:paraId="16370B3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$291,186; 12.725</w:t>
            </w:r>
          </w:p>
        </w:tc>
        <w:tc>
          <w:tcPr>
            <w:tcW w:w="1800" w:type="dxa"/>
          </w:tcPr>
          <w:p w14:paraId="58B5E6F0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Dominated (by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secukinumab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694" w:type="dxa"/>
          </w:tcPr>
          <w:p w14:paraId="55697A99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Adalimumab biosimilar (29%; $261,631; 12.648)</w:t>
            </w:r>
          </w:p>
        </w:tc>
        <w:tc>
          <w:tcPr>
            <w:tcW w:w="1843" w:type="dxa"/>
          </w:tcPr>
          <w:p w14:paraId="4A91319F" w14:textId="77777777" w:rsidR="001B246D" w:rsidRPr="001B246D" w:rsidRDefault="001B246D" w:rsidP="00A640A9">
            <w:pPr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$383,831/QALY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</w:p>
        </w:tc>
      </w:tr>
      <w:tr w:rsidR="001B246D" w:rsidRPr="001B246D" w14:paraId="32BEA842" w14:textId="77777777" w:rsidTr="00A640A9">
        <w:tc>
          <w:tcPr>
            <w:tcW w:w="1103" w:type="dxa"/>
            <w:vMerge/>
          </w:tcPr>
          <w:p w14:paraId="37F1D95B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452" w:type="dxa"/>
            <w:vMerge/>
          </w:tcPr>
          <w:p w14:paraId="542C4C3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2407" w:type="dxa"/>
          </w:tcPr>
          <w:p w14:paraId="4274400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Ankylosing spondylitis – 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bDMARD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inadequate responders</w:t>
            </w:r>
          </w:p>
        </w:tc>
        <w:tc>
          <w:tcPr>
            <w:tcW w:w="1176" w:type="dxa"/>
          </w:tcPr>
          <w:p w14:paraId="00CA38C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$317,910; 12.792</w:t>
            </w:r>
          </w:p>
        </w:tc>
        <w:tc>
          <w:tcPr>
            <w:tcW w:w="1800" w:type="dxa"/>
          </w:tcPr>
          <w:p w14:paraId="68F0B5A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$52,442/QALY (vs. conventional therapy)</w:t>
            </w:r>
          </w:p>
        </w:tc>
        <w:tc>
          <w:tcPr>
            <w:tcW w:w="2694" w:type="dxa"/>
          </w:tcPr>
          <w:p w14:paraId="7576C56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lang w:val="en-US"/>
              </w:rPr>
              <w:t>Secukinumab</w:t>
            </w:r>
            <w:proofErr w:type="spellEnd"/>
            <w:r w:rsidRPr="001B246D">
              <w:rPr>
                <w:rFonts w:ascii="Calibri" w:hAnsi="Calibri"/>
                <w:sz w:val="18"/>
                <w:lang w:val="en-US"/>
              </w:rPr>
              <w:t xml:space="preserve"> (13%; $319,822; 12.59)</w:t>
            </w:r>
          </w:p>
        </w:tc>
        <w:tc>
          <w:tcPr>
            <w:tcW w:w="1843" w:type="dxa"/>
          </w:tcPr>
          <w:p w14:paraId="6880DD8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-$9,465/QALY (dominant)</w:t>
            </w:r>
          </w:p>
        </w:tc>
      </w:tr>
      <w:tr w:rsidR="001B246D" w:rsidRPr="001B246D" w14:paraId="218D999F" w14:textId="77777777" w:rsidTr="00A640A9">
        <w:tc>
          <w:tcPr>
            <w:tcW w:w="1103" w:type="dxa"/>
          </w:tcPr>
          <w:p w14:paraId="5749B24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SR0767-000</w:t>
            </w:r>
          </w:p>
        </w:tc>
        <w:tc>
          <w:tcPr>
            <w:tcW w:w="1452" w:type="dxa"/>
          </w:tcPr>
          <w:p w14:paraId="4148765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Skyrizi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risankizumab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13F1358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Crohn's disease – biologic failure</w:t>
            </w:r>
          </w:p>
        </w:tc>
        <w:tc>
          <w:tcPr>
            <w:tcW w:w="1176" w:type="dxa"/>
          </w:tcPr>
          <w:p w14:paraId="279E9BC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$644,562; 22.433</w:t>
            </w:r>
          </w:p>
        </w:tc>
        <w:tc>
          <w:tcPr>
            <w:tcW w:w="1800" w:type="dxa"/>
          </w:tcPr>
          <w:p w14:paraId="0ACA520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$535,031 (vs. vedolizumab subcutaneous)</w:t>
            </w:r>
          </w:p>
        </w:tc>
        <w:tc>
          <w:tcPr>
            <w:tcW w:w="2694" w:type="dxa"/>
          </w:tcPr>
          <w:p w14:paraId="0EB95CE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Infliximab biosimilar (43%; NR; NR)</w:t>
            </w:r>
          </w:p>
        </w:tc>
        <w:tc>
          <w:tcPr>
            <w:tcW w:w="1843" w:type="dxa"/>
          </w:tcPr>
          <w:p w14:paraId="782E415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Dominant*</w:t>
            </w:r>
          </w:p>
        </w:tc>
      </w:tr>
      <w:tr w:rsidR="001B246D" w:rsidRPr="001B246D" w14:paraId="36A37308" w14:textId="77777777" w:rsidTr="00A640A9">
        <w:tc>
          <w:tcPr>
            <w:tcW w:w="1103" w:type="dxa"/>
          </w:tcPr>
          <w:p w14:paraId="504B3BB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SR0733-000</w:t>
            </w:r>
          </w:p>
        </w:tc>
        <w:tc>
          <w:tcPr>
            <w:tcW w:w="1452" w:type="dxa"/>
          </w:tcPr>
          <w:p w14:paraId="713E6B8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Tremfya (</w:t>
            </w: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guselkumab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)</w:t>
            </w:r>
          </w:p>
        </w:tc>
        <w:tc>
          <w:tcPr>
            <w:tcW w:w="2407" w:type="dxa"/>
          </w:tcPr>
          <w:p w14:paraId="02AF7BD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Psoriatic arthritis – biologic-naïve</w:t>
            </w:r>
          </w:p>
        </w:tc>
        <w:tc>
          <w:tcPr>
            <w:tcW w:w="1176" w:type="dxa"/>
          </w:tcPr>
          <w:p w14:paraId="212F060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$277,946; 7.317</w:t>
            </w:r>
          </w:p>
        </w:tc>
        <w:tc>
          <w:tcPr>
            <w:tcW w:w="1800" w:type="dxa"/>
          </w:tcPr>
          <w:p w14:paraId="24071E5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Dominated (by etanercept)</w:t>
            </w:r>
          </w:p>
        </w:tc>
        <w:tc>
          <w:tcPr>
            <w:tcW w:w="2694" w:type="dxa"/>
          </w:tcPr>
          <w:p w14:paraId="40242B1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Adalimumab (23%;</w:t>
            </w:r>
            <w:r w:rsidRPr="001B246D">
              <w:rPr>
                <w:lang w:val="en-US"/>
              </w:rPr>
              <w:t xml:space="preserve"> $</w:t>
            </w:r>
            <w:r w:rsidRPr="001B246D">
              <w:rPr>
                <w:rFonts w:ascii="Calibri" w:hAnsi="Calibri"/>
                <w:sz w:val="18"/>
                <w:lang w:val="en-US"/>
              </w:rPr>
              <w:t>253,422; 7.346)</w:t>
            </w:r>
          </w:p>
        </w:tc>
        <w:tc>
          <w:tcPr>
            <w:tcW w:w="1843" w:type="dxa"/>
          </w:tcPr>
          <w:p w14:paraId="46956393" w14:textId="77777777" w:rsidR="001B246D" w:rsidRPr="001B246D" w:rsidRDefault="001B246D" w:rsidP="00A640A9">
            <w:pPr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-$845,655/QALY </w:t>
            </w:r>
          </w:p>
          <w:p w14:paraId="6C19D8E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(for adalimumab over </w:t>
            </w:r>
            <w:proofErr w:type="spellStart"/>
            <w:r w:rsidRPr="001B246D">
              <w:rPr>
                <w:rFonts w:ascii="Calibri" w:hAnsi="Calibri"/>
                <w:sz w:val="18"/>
                <w:lang w:val="en-US"/>
              </w:rPr>
              <w:t>guselkumab</w:t>
            </w:r>
            <w:proofErr w:type="spellEnd"/>
            <w:r w:rsidRPr="001B246D">
              <w:rPr>
                <w:rFonts w:ascii="Calibri" w:hAnsi="Calibri"/>
                <w:sz w:val="18"/>
                <w:lang w:val="en-US"/>
              </w:rPr>
              <w:t>; dominated)</w:t>
            </w:r>
          </w:p>
        </w:tc>
      </w:tr>
      <w:tr w:rsidR="001B246D" w:rsidRPr="001B246D" w14:paraId="24159827" w14:textId="77777777" w:rsidTr="00A640A9">
        <w:tc>
          <w:tcPr>
            <w:tcW w:w="1103" w:type="dxa"/>
            <w:vMerge w:val="restart"/>
          </w:tcPr>
          <w:p w14:paraId="3780D4A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lastRenderedPageBreak/>
              <w:t>SR0714-000</w:t>
            </w:r>
          </w:p>
        </w:tc>
        <w:tc>
          <w:tcPr>
            <w:tcW w:w="1452" w:type="dxa"/>
            <w:vMerge w:val="restart"/>
          </w:tcPr>
          <w:p w14:paraId="646A968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Zeposia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(ozanimod)</w:t>
            </w:r>
          </w:p>
        </w:tc>
        <w:tc>
          <w:tcPr>
            <w:tcW w:w="2407" w:type="dxa"/>
          </w:tcPr>
          <w:p w14:paraId="681CC78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Ulcerative colitis – biologic-naïve</w:t>
            </w:r>
          </w:p>
        </w:tc>
        <w:tc>
          <w:tcPr>
            <w:tcW w:w="1176" w:type="dxa"/>
          </w:tcPr>
          <w:p w14:paraId="331F58C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$163,849; 16.25</w:t>
            </w:r>
          </w:p>
        </w:tc>
        <w:tc>
          <w:tcPr>
            <w:tcW w:w="1800" w:type="dxa"/>
          </w:tcPr>
          <w:p w14:paraId="549D1F0F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Dominated (by infliximab biosimilar)</w:t>
            </w:r>
          </w:p>
        </w:tc>
        <w:tc>
          <w:tcPr>
            <w:tcW w:w="2694" w:type="dxa"/>
          </w:tcPr>
          <w:p w14:paraId="2ABD63B5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Infliximab originator (25%; $165,408; 16.255)</w:t>
            </w:r>
          </w:p>
        </w:tc>
        <w:tc>
          <w:tcPr>
            <w:tcW w:w="1843" w:type="dxa"/>
          </w:tcPr>
          <w:p w14:paraId="3EA6E7C0" w14:textId="77777777" w:rsidR="001B246D" w:rsidRPr="001B246D" w:rsidRDefault="001B246D" w:rsidP="00A640A9">
            <w:pPr>
              <w:spacing w:after="0" w:line="240" w:lineRule="auto"/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 xml:space="preserve">$311,800/QALY (for infliximab originator over </w:t>
            </w: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ozanimod)</w:t>
            </w:r>
          </w:p>
        </w:tc>
      </w:tr>
      <w:tr w:rsidR="001B246D" w:rsidRPr="001B246D" w14:paraId="4CF1510B" w14:textId="77777777" w:rsidTr="00A640A9">
        <w:tc>
          <w:tcPr>
            <w:tcW w:w="1103" w:type="dxa"/>
            <w:vMerge/>
          </w:tcPr>
          <w:p w14:paraId="6B7ADD1E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452" w:type="dxa"/>
            <w:vMerge/>
          </w:tcPr>
          <w:p w14:paraId="6381B6A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2407" w:type="dxa"/>
          </w:tcPr>
          <w:p w14:paraId="02489D6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Ulcerative colitis – biologic-experienced</w:t>
            </w:r>
          </w:p>
        </w:tc>
        <w:tc>
          <w:tcPr>
            <w:tcW w:w="1176" w:type="dxa"/>
          </w:tcPr>
          <w:p w14:paraId="36CB3A81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$99,446; 16.444</w:t>
            </w:r>
          </w:p>
        </w:tc>
        <w:tc>
          <w:tcPr>
            <w:tcW w:w="1800" w:type="dxa"/>
          </w:tcPr>
          <w:p w14:paraId="2D9048A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Dominated (by </w:t>
            </w:r>
            <w:r w:rsidRPr="001B246D">
              <w:rPr>
                <w:rFonts w:ascii="Calibri" w:hAnsi="Calibri"/>
                <w:sz w:val="18"/>
                <w:lang w:val="en-US"/>
              </w:rPr>
              <w:t>infliximab biosimilar)</w:t>
            </w:r>
          </w:p>
        </w:tc>
        <w:tc>
          <w:tcPr>
            <w:tcW w:w="2694" w:type="dxa"/>
          </w:tcPr>
          <w:p w14:paraId="133FD45C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Vedolizumab intravenous (20%; $99,602; 16.445)</w:t>
            </w:r>
          </w:p>
        </w:tc>
        <w:tc>
          <w:tcPr>
            <w:tcW w:w="1843" w:type="dxa"/>
          </w:tcPr>
          <w:p w14:paraId="12C28EEA" w14:textId="77777777" w:rsidR="001B246D" w:rsidRPr="001B246D" w:rsidRDefault="001B246D" w:rsidP="00A640A9">
            <w:pPr>
              <w:spacing w:after="0" w:line="240" w:lineRule="auto"/>
              <w:rPr>
                <w:rFonts w:ascii="Aptos Narrow" w:hAnsi="Aptos Narrow"/>
                <w:b/>
                <w:bCs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$156,000/QALY</w:t>
            </w:r>
            <w:r w:rsidRPr="001B246D">
              <w:rPr>
                <w:rFonts w:ascii="Aptos Narrow" w:hAnsi="Aptos Narrow"/>
                <w:b/>
                <w:bCs/>
                <w:szCs w:val="22"/>
                <w:lang w:val="en-US"/>
              </w:rPr>
              <w:t xml:space="preserve"> </w:t>
            </w:r>
            <w:r w:rsidRPr="001B246D">
              <w:rPr>
                <w:rFonts w:ascii="Calibri" w:hAnsi="Calibri"/>
                <w:sz w:val="18"/>
                <w:lang w:val="en-US"/>
              </w:rPr>
              <w:t xml:space="preserve">(for vedolizumab intravenous over </w:t>
            </w: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ozanimod)</w:t>
            </w:r>
          </w:p>
        </w:tc>
      </w:tr>
      <w:tr w:rsidR="001B246D" w:rsidRPr="001B246D" w14:paraId="719031E1" w14:textId="77777777" w:rsidTr="00A640A9">
        <w:tc>
          <w:tcPr>
            <w:tcW w:w="1103" w:type="dxa"/>
            <w:vMerge w:val="restart"/>
          </w:tcPr>
          <w:p w14:paraId="60BEE90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SR0730-000</w:t>
            </w:r>
          </w:p>
        </w:tc>
        <w:tc>
          <w:tcPr>
            <w:tcW w:w="1452" w:type="dxa"/>
            <w:vMerge w:val="restart"/>
          </w:tcPr>
          <w:p w14:paraId="16FE060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proofErr w:type="spellStart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Rinvoq</w:t>
            </w:r>
            <w:proofErr w:type="spellEnd"/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 xml:space="preserve"> (upadacitinib)</w:t>
            </w:r>
          </w:p>
        </w:tc>
        <w:tc>
          <w:tcPr>
            <w:tcW w:w="2407" w:type="dxa"/>
          </w:tcPr>
          <w:p w14:paraId="2A39667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Ulcerative colitis – biologic-naïve</w:t>
            </w:r>
          </w:p>
        </w:tc>
        <w:tc>
          <w:tcPr>
            <w:tcW w:w="1176" w:type="dxa"/>
          </w:tcPr>
          <w:p w14:paraId="771D1170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$209,692;</w:t>
            </w:r>
            <w:r w:rsidRPr="001B246D">
              <w:rPr>
                <w:lang w:val="en-US"/>
              </w:rPr>
              <w:t xml:space="preserve"> </w:t>
            </w:r>
            <w:r w:rsidRPr="001B246D">
              <w:rPr>
                <w:rFonts w:ascii="Calibri" w:hAnsi="Calibri"/>
                <w:sz w:val="18"/>
                <w:lang w:val="en-US"/>
              </w:rPr>
              <w:t>13</w:t>
            </w:r>
          </w:p>
        </w:tc>
        <w:tc>
          <w:tcPr>
            <w:tcW w:w="1800" w:type="dxa"/>
          </w:tcPr>
          <w:p w14:paraId="3132DB97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szCs w:val="22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Dominated (by adalimumab)</w:t>
            </w:r>
          </w:p>
        </w:tc>
        <w:tc>
          <w:tcPr>
            <w:tcW w:w="2694" w:type="dxa"/>
          </w:tcPr>
          <w:p w14:paraId="071F0AE6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Vedolizumab (43%; $213,350; 13)</w:t>
            </w:r>
          </w:p>
        </w:tc>
        <w:tc>
          <w:tcPr>
            <w:tcW w:w="1843" w:type="dxa"/>
          </w:tcPr>
          <w:p w14:paraId="4CF1C144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Lower cost of $3,658 for same QALYs gained</w:t>
            </w:r>
          </w:p>
        </w:tc>
      </w:tr>
      <w:tr w:rsidR="001B246D" w:rsidRPr="001B246D" w14:paraId="3177CAF2" w14:textId="77777777" w:rsidTr="00A640A9">
        <w:tc>
          <w:tcPr>
            <w:tcW w:w="1103" w:type="dxa"/>
            <w:vMerge/>
          </w:tcPr>
          <w:p w14:paraId="43D67F52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1452" w:type="dxa"/>
            <w:vMerge/>
          </w:tcPr>
          <w:p w14:paraId="16DF4CE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</w:p>
        </w:tc>
        <w:tc>
          <w:tcPr>
            <w:tcW w:w="2407" w:type="dxa"/>
          </w:tcPr>
          <w:p w14:paraId="0F96D54D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Ulcerative colitis – biologic-experienced</w:t>
            </w:r>
          </w:p>
        </w:tc>
        <w:tc>
          <w:tcPr>
            <w:tcW w:w="1176" w:type="dxa"/>
          </w:tcPr>
          <w:p w14:paraId="28819D1A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$203,028; 12.97</w:t>
            </w:r>
          </w:p>
        </w:tc>
        <w:tc>
          <w:tcPr>
            <w:tcW w:w="1800" w:type="dxa"/>
          </w:tcPr>
          <w:p w14:paraId="0F74B5C8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szCs w:val="22"/>
                <w:lang w:val="en-US"/>
              </w:rPr>
              <w:t>Dominated (by adalimumab)</w:t>
            </w:r>
          </w:p>
        </w:tc>
        <w:tc>
          <w:tcPr>
            <w:tcW w:w="2694" w:type="dxa"/>
          </w:tcPr>
          <w:p w14:paraId="0B6E6A2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Vedolizumab (43%; $206,867; 12.97)</w:t>
            </w:r>
          </w:p>
        </w:tc>
        <w:tc>
          <w:tcPr>
            <w:tcW w:w="1843" w:type="dxa"/>
          </w:tcPr>
          <w:p w14:paraId="25EA8833" w14:textId="77777777" w:rsidR="001B246D" w:rsidRPr="001B246D" w:rsidRDefault="001B246D" w:rsidP="00A640A9">
            <w:pPr>
              <w:spacing w:after="0" w:line="240" w:lineRule="auto"/>
              <w:rPr>
                <w:rFonts w:ascii="Calibri" w:hAnsi="Calibri"/>
                <w:sz w:val="18"/>
                <w:lang w:val="en-US"/>
              </w:rPr>
            </w:pPr>
            <w:r w:rsidRPr="001B246D">
              <w:rPr>
                <w:rFonts w:ascii="Calibri" w:hAnsi="Calibri"/>
                <w:sz w:val="18"/>
                <w:lang w:val="en-US"/>
              </w:rPr>
              <w:t>Lower cost of $3,839 for same QALYs gained</w:t>
            </w:r>
          </w:p>
        </w:tc>
      </w:tr>
    </w:tbl>
    <w:p w14:paraId="5BB16527" w14:textId="77777777" w:rsidR="001B246D" w:rsidRPr="001B246D" w:rsidRDefault="001B246D" w:rsidP="001B246D">
      <w:pPr>
        <w:spacing w:after="0" w:line="240" w:lineRule="auto"/>
        <w:rPr>
          <w:rFonts w:ascii="Calibri" w:eastAsia="Times New Roman" w:hAnsi="Calibri" w:cs="Times New Roman"/>
          <w:sz w:val="16"/>
          <w:szCs w:val="18"/>
          <w:lang w:val="en-US"/>
        </w:rPr>
      </w:pPr>
      <w:r w:rsidRPr="001B246D">
        <w:rPr>
          <w:rFonts w:ascii="Calibri" w:eastAsia="Times New Roman" w:hAnsi="Calibri" w:cs="Times New Roman"/>
          <w:b/>
          <w:bCs/>
          <w:sz w:val="16"/>
          <w:szCs w:val="18"/>
          <w:lang w:val="en-US"/>
        </w:rPr>
        <w:t xml:space="preserve">Abbreviations: </w:t>
      </w:r>
      <w:proofErr w:type="spellStart"/>
      <w:r w:rsidRPr="001B246D">
        <w:rPr>
          <w:rFonts w:ascii="Calibri" w:eastAsia="Times New Roman" w:hAnsi="Calibri" w:cs="Times New Roman"/>
          <w:sz w:val="16"/>
          <w:szCs w:val="18"/>
          <w:lang w:val="en-US"/>
        </w:rPr>
        <w:t>bDMARD</w:t>
      </w:r>
      <w:proofErr w:type="spellEnd"/>
      <w:r w:rsidRPr="001B246D">
        <w:rPr>
          <w:rFonts w:ascii="Calibri" w:eastAsia="Times New Roman" w:hAnsi="Calibri" w:cs="Times New Roman"/>
          <w:sz w:val="16"/>
          <w:szCs w:val="18"/>
          <w:lang w:val="en-US"/>
        </w:rPr>
        <w:t xml:space="preserve"> = biologic disease-modifying antirheumatic drug; NR = not reported; QALY = quality-adjusted life year.</w:t>
      </w:r>
    </w:p>
    <w:p w14:paraId="53E8BB5F" w14:textId="5573DB43" w:rsidR="001B246D" w:rsidRPr="001B246D" w:rsidRDefault="001B246D" w:rsidP="001B246D">
      <w:pPr>
        <w:spacing w:after="0" w:line="240" w:lineRule="auto"/>
        <w:rPr>
          <w:rFonts w:ascii="Calibri" w:eastAsia="Times New Roman" w:hAnsi="Calibri" w:cs="Times New Roman"/>
          <w:sz w:val="16"/>
          <w:szCs w:val="18"/>
          <w:lang w:val="en-US"/>
        </w:rPr>
      </w:pPr>
      <w:r w:rsidRPr="001B246D">
        <w:rPr>
          <w:rFonts w:ascii="Calibri" w:eastAsia="Times New Roman" w:hAnsi="Calibri" w:cs="Times New Roman"/>
          <w:sz w:val="16"/>
          <w:szCs w:val="18"/>
          <w:lang w:val="en-US"/>
        </w:rPr>
        <w:t xml:space="preserve">*Though the total costs and QALYs gained for the most common comparator (infliximab biosimilar) are not reported for this review, it is indicated in the CDA-AMC report that </w:t>
      </w:r>
      <w:proofErr w:type="spellStart"/>
      <w:r w:rsidRPr="001B246D">
        <w:rPr>
          <w:rFonts w:ascii="Calibri" w:eastAsia="Times New Roman" w:hAnsi="Calibri" w:cs="Times New Roman"/>
          <w:sz w:val="16"/>
          <w:szCs w:val="18"/>
          <w:lang w:val="en-US"/>
        </w:rPr>
        <w:t>risankizumab</w:t>
      </w:r>
      <w:proofErr w:type="spellEnd"/>
      <w:r w:rsidRPr="001B246D">
        <w:rPr>
          <w:rFonts w:ascii="Calibri" w:eastAsia="Times New Roman" w:hAnsi="Calibri" w:cs="Times New Roman"/>
          <w:sz w:val="16"/>
          <w:szCs w:val="18"/>
          <w:lang w:val="en-US"/>
        </w:rPr>
        <w:t xml:space="preserve"> dominates the infliximab biosimilar.</w:t>
      </w:r>
    </w:p>
    <w:sectPr w:rsidR="001B246D" w:rsidRPr="001B246D" w:rsidSect="001B246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6D"/>
    <w:rsid w:val="00197591"/>
    <w:rsid w:val="001B246D"/>
    <w:rsid w:val="00201734"/>
    <w:rsid w:val="00275D3D"/>
    <w:rsid w:val="0057473E"/>
    <w:rsid w:val="007920EE"/>
    <w:rsid w:val="00850A95"/>
    <w:rsid w:val="00C5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1C30E"/>
  <w15:chartTrackingRefBased/>
  <w15:docId w15:val="{D834D0CD-7F4B-4348-90A0-EF3ED1EC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6D"/>
    <w:pPr>
      <w:spacing w:before="120" w:after="120" w:line="320" w:lineRule="exact"/>
      <w:jc w:val="both"/>
    </w:pPr>
    <w:rPr>
      <w:rFonts w:eastAsiaTheme="minorEastAsia"/>
      <w:kern w:val="0"/>
      <w:sz w:val="22"/>
      <w:lang w:val="fr-FR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2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2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2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2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B2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B2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B2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46D"/>
    <w:rPr>
      <w:b/>
      <w:bCs/>
      <w:smallCaps/>
      <w:color w:val="0F4761" w:themeColor="accent1" w:themeShade="BF"/>
      <w:spacing w:val="5"/>
    </w:rPr>
  </w:style>
  <w:style w:type="table" w:customStyle="1" w:styleId="ActikerallTable">
    <w:name w:val="Actikerall Table"/>
    <w:basedOn w:val="TableNormal"/>
    <w:uiPriority w:val="99"/>
    <w:rsid w:val="001B246D"/>
    <w:pPr>
      <w:spacing w:after="360" w:line="360" w:lineRule="exact"/>
      <w:contextualSpacing/>
    </w:pPr>
    <w:rPr>
      <w:rFonts w:eastAsia="Times New Roman" w:cs="Times New Roman"/>
      <w:color w:val="000000"/>
      <w:kern w:val="0"/>
      <w:sz w:val="20"/>
      <w:szCs w:val="20"/>
      <w:lang w:val="en-CA" w:eastAsia="en-CA"/>
      <w14:ligatures w14:val="none"/>
    </w:rPr>
    <w:tblPr>
      <w:tblBorders>
        <w:top w:val="double" w:sz="4" w:space="0" w:color="19468C"/>
        <w:bottom w:val="single" w:sz="18" w:space="0" w:color="19468C"/>
        <w:insideH w:val="single" w:sz="4" w:space="0" w:color="19468C"/>
      </w:tblBorders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center"/>
      </w:pPr>
      <w:rPr>
        <w:rFonts w:ascii="Calibri" w:hAnsi="Calibri"/>
        <w:b/>
        <w:color w:val="FFFFFF"/>
        <w:sz w:val="20"/>
      </w:rPr>
      <w:tblPr/>
      <w:tcPr>
        <w:tcBorders>
          <w:top w:val="single" w:sz="18" w:space="0" w:color="19468C"/>
          <w:left w:val="nil"/>
          <w:bottom w:val="double" w:sz="4" w:space="0" w:color="19468C"/>
          <w:right w:val="nil"/>
          <w:insideH w:val="nil"/>
          <w:insideV w:val="nil"/>
          <w:tl2br w:val="nil"/>
          <w:tr2bl w:val="nil"/>
        </w:tcBorders>
        <w:shd w:val="clear" w:color="auto" w:fill="19468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customXml" Target="../customXml/item2.xml"/><Relationship Id="rId5" Type="http://schemas.openxmlformats.org/officeDocument/2006/relationships/image" Target="media/image1.tiff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Props1.xml><?xml version="1.0" encoding="utf-8"?>
<ds:datastoreItem xmlns:ds="http://schemas.openxmlformats.org/officeDocument/2006/customXml" ds:itemID="{3C3F3A23-B618-4B3C-96FD-3C127E2D0CC5}"/>
</file>

<file path=customXml/itemProps2.xml><?xml version="1.0" encoding="utf-8"?>
<ds:datastoreItem xmlns:ds="http://schemas.openxmlformats.org/officeDocument/2006/customXml" ds:itemID="{83D2E140-F38A-4E43-A49D-54B282D1073C}"/>
</file>

<file path=customXml/itemProps3.xml><?xml version="1.0" encoding="utf-8"?>
<ds:datastoreItem xmlns:ds="http://schemas.openxmlformats.org/officeDocument/2006/customXml" ds:itemID="{A0DD745D-F255-4F64-84F5-8FC13723C9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1751</Words>
  <Characters>9984</Characters>
  <Application>Microsoft Office Word</Application>
  <DocSecurity>0</DocSecurity>
  <Lines>83</Lines>
  <Paragraphs>23</Paragraphs>
  <ScaleCrop>false</ScaleCrop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Dormer</dc:creator>
  <cp:keywords/>
  <dc:description/>
  <cp:lastModifiedBy>Laura Dormer</cp:lastModifiedBy>
  <cp:revision>1</cp:revision>
  <dcterms:created xsi:type="dcterms:W3CDTF">2026-10-09T15:22:00Z</dcterms:created>
  <dcterms:modified xsi:type="dcterms:W3CDTF">2026-10-09T15:28:00Z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